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A7A01" w14:textId="23840BFF" w:rsidR="001619B8" w:rsidRPr="00872166" w:rsidRDefault="00653717" w:rsidP="00085EC9">
      <w:pPr>
        <w:spacing w:after="0"/>
        <w:jc w:val="center"/>
        <w:rPr>
          <w:b/>
          <w:bCs/>
        </w:rPr>
      </w:pPr>
      <w:r w:rsidRPr="00872166">
        <w:rPr>
          <w:b/>
          <w:bCs/>
        </w:rPr>
        <w:t>St</w:t>
      </w:r>
      <w:r w:rsidR="005B3B5E">
        <w:rPr>
          <w:b/>
          <w:bCs/>
        </w:rPr>
        <w:t>.</w:t>
      </w:r>
      <w:r w:rsidRPr="00872166">
        <w:rPr>
          <w:b/>
          <w:bCs/>
        </w:rPr>
        <w:t xml:space="preserve"> George’s University</w:t>
      </w:r>
      <w:r w:rsidR="00130987">
        <w:rPr>
          <w:b/>
          <w:bCs/>
        </w:rPr>
        <w:t xml:space="preserve"> (SGU)</w:t>
      </w:r>
      <w:r w:rsidRPr="00872166">
        <w:rPr>
          <w:b/>
          <w:bCs/>
        </w:rPr>
        <w:t xml:space="preserve"> </w:t>
      </w:r>
      <w:r w:rsidR="00872166" w:rsidRPr="00872166">
        <w:rPr>
          <w:b/>
          <w:bCs/>
        </w:rPr>
        <w:t>–</w:t>
      </w:r>
      <w:r w:rsidRPr="00872166">
        <w:rPr>
          <w:b/>
          <w:bCs/>
        </w:rPr>
        <w:t xml:space="preserve"> </w:t>
      </w:r>
      <w:r w:rsidR="003A183C">
        <w:rPr>
          <w:b/>
          <w:bCs/>
        </w:rPr>
        <w:t>International Medical Pathway at</w:t>
      </w:r>
      <w:r w:rsidR="00872166" w:rsidRPr="00872166">
        <w:rPr>
          <w:b/>
          <w:bCs/>
        </w:rPr>
        <w:t xml:space="preserve"> Northumbria University Newcastle</w:t>
      </w:r>
      <w:r w:rsidR="003A183C">
        <w:rPr>
          <w:b/>
          <w:bCs/>
        </w:rPr>
        <w:t>, UK</w:t>
      </w:r>
      <w:r w:rsidR="00130987">
        <w:rPr>
          <w:b/>
          <w:bCs/>
        </w:rPr>
        <w:t xml:space="preserve"> (NU)</w:t>
      </w:r>
    </w:p>
    <w:p w14:paraId="50479934" w14:textId="77777777" w:rsidR="00653717" w:rsidRPr="00683796" w:rsidRDefault="00653717" w:rsidP="001619B8">
      <w:pPr>
        <w:spacing w:after="0"/>
        <w:rPr>
          <w:sz w:val="10"/>
          <w:szCs w:val="10"/>
        </w:rPr>
      </w:pPr>
    </w:p>
    <w:p w14:paraId="73761B69" w14:textId="2A8F7B7A" w:rsidR="00B04B57" w:rsidRPr="00653717" w:rsidRDefault="003A183C" w:rsidP="001619B8">
      <w:pPr>
        <w:spacing w:after="0"/>
      </w:pPr>
      <w:r>
        <w:rPr>
          <w:b/>
          <w:bCs/>
        </w:rPr>
        <w:t xml:space="preserve">International Medical Pathway </w:t>
      </w:r>
      <w:r w:rsidR="00EB6CB5">
        <w:rPr>
          <w:b/>
          <w:bCs/>
        </w:rPr>
        <w:t>O</w:t>
      </w:r>
      <w:r>
        <w:rPr>
          <w:b/>
          <w:bCs/>
        </w:rPr>
        <w:t>verview</w:t>
      </w:r>
    </w:p>
    <w:p w14:paraId="565528C8" w14:textId="1C0A6A15" w:rsidR="00B04B57" w:rsidRPr="00683796" w:rsidRDefault="00B04B57" w:rsidP="001619B8">
      <w:pPr>
        <w:spacing w:after="0"/>
        <w:rPr>
          <w:sz w:val="10"/>
          <w:szCs w:val="10"/>
        </w:rPr>
      </w:pPr>
    </w:p>
    <w:p w14:paraId="569470E8" w14:textId="6C877CA0" w:rsidR="00B04B57" w:rsidRDefault="00130987" w:rsidP="001619B8">
      <w:pPr>
        <w:spacing w:after="0"/>
      </w:pPr>
      <w:r>
        <w:t xml:space="preserve">SGU and NU have partnered to offer three </w:t>
      </w:r>
      <w:r w:rsidR="000F5CCD">
        <w:t>different pathway-stage</w:t>
      </w:r>
      <w:r w:rsidR="00FE2F52">
        <w:t xml:space="preserve"> programs: a six-year MD Program (MD6), a five-year MD program</w:t>
      </w:r>
      <w:r w:rsidR="003A183C">
        <w:t xml:space="preserve"> (MD5)</w:t>
      </w:r>
      <w:r w:rsidR="00FE2F52">
        <w:t xml:space="preserve">, and a four-year </w:t>
      </w:r>
      <w:r w:rsidR="00AD0972">
        <w:t>MD program</w:t>
      </w:r>
      <w:r w:rsidR="003A183C">
        <w:t xml:space="preserve"> (MD4)</w:t>
      </w:r>
      <w:r w:rsidR="00FE2F52">
        <w:t xml:space="preserve">. </w:t>
      </w:r>
      <w:r w:rsidR="00AD0972">
        <w:t xml:space="preserve">Each program allows </w:t>
      </w:r>
      <w:r w:rsidR="00C57954">
        <w:t>students to complete part of their education at NU, but the MD degree offered is ultimately issued by SGU</w:t>
      </w:r>
      <w:r w:rsidR="002E23F2">
        <w:t>. Note: t</w:t>
      </w:r>
      <w:r w:rsidR="00B04B57">
        <w:t xml:space="preserve">he SGU pathway stages offered in Newcastle are </w:t>
      </w:r>
      <w:r w:rsidR="00B04B57" w:rsidRPr="00E209AB">
        <w:rPr>
          <w:b/>
          <w:bCs/>
          <w:i/>
          <w:iCs/>
        </w:rPr>
        <w:t>different</w:t>
      </w:r>
      <w:r w:rsidR="00B04B57">
        <w:t xml:space="preserve"> to the comparable stages offered in Grenada.  An overview of each pathway stage is provided below</w:t>
      </w:r>
      <w:r w:rsidR="00653717">
        <w:t xml:space="preserve"> with start dates and fees.</w:t>
      </w:r>
    </w:p>
    <w:p w14:paraId="36A10C91" w14:textId="06D5B08F" w:rsidR="00B04B57" w:rsidRPr="00683796" w:rsidRDefault="00B04B57" w:rsidP="001619B8">
      <w:pPr>
        <w:spacing w:after="0"/>
        <w:rPr>
          <w:sz w:val="6"/>
          <w:szCs w:val="6"/>
        </w:rPr>
      </w:pPr>
    </w:p>
    <w:tbl>
      <w:tblPr>
        <w:tblW w:w="11764" w:type="dxa"/>
        <w:tblInd w:w="-185" w:type="dxa"/>
        <w:tblLook w:val="04A0" w:firstRow="1" w:lastRow="0" w:firstColumn="1" w:lastColumn="0" w:noHBand="0" w:noVBand="1"/>
      </w:tblPr>
      <w:tblGrid>
        <w:gridCol w:w="1019"/>
        <w:gridCol w:w="3031"/>
        <w:gridCol w:w="1022"/>
        <w:gridCol w:w="1022"/>
        <w:gridCol w:w="1040"/>
        <w:gridCol w:w="1408"/>
        <w:gridCol w:w="940"/>
        <w:gridCol w:w="1036"/>
        <w:gridCol w:w="1246"/>
      </w:tblGrid>
      <w:tr w:rsidR="00770C23" w:rsidRPr="00770C23" w14:paraId="181FA5E8" w14:textId="77777777" w:rsidTr="00841867">
        <w:trPr>
          <w:trHeight w:val="1450"/>
        </w:trPr>
        <w:tc>
          <w:tcPr>
            <w:tcW w:w="1019" w:type="dxa"/>
            <w:tcBorders>
              <w:top w:val="single" w:sz="4" w:space="0" w:color="95B3D7"/>
              <w:left w:val="single" w:sz="4" w:space="0" w:color="95B3D7"/>
              <w:bottom w:val="single" w:sz="4" w:space="0" w:color="95B3D7"/>
              <w:right w:val="nil"/>
            </w:tcBorders>
            <w:shd w:val="clear" w:color="4F81BD" w:fill="4F81BD"/>
            <w:vAlign w:val="bottom"/>
            <w:hideMark/>
          </w:tcPr>
          <w:p w14:paraId="6AD53399" w14:textId="77777777" w:rsidR="00770C23" w:rsidRPr="00770C23" w:rsidRDefault="00770C23" w:rsidP="00770C23">
            <w:pPr>
              <w:spacing w:after="0" w:line="240" w:lineRule="auto"/>
              <w:jc w:val="center"/>
              <w:rPr>
                <w:rFonts w:ascii="Calibri" w:eastAsia="Times New Roman" w:hAnsi="Calibri" w:cs="Calibri"/>
                <w:b/>
                <w:bCs/>
                <w:color w:val="FFFFFF"/>
                <w:lang w:val="en-US"/>
              </w:rPr>
            </w:pPr>
            <w:r w:rsidRPr="00770C23">
              <w:rPr>
                <w:rFonts w:ascii="Calibri" w:eastAsia="Times New Roman" w:hAnsi="Calibri" w:cs="Calibri"/>
                <w:b/>
                <w:bCs/>
                <w:color w:val="FFFFFF"/>
                <w:lang w:val="en-US"/>
              </w:rPr>
              <w:t>Program Name / Length</w:t>
            </w:r>
          </w:p>
        </w:tc>
        <w:tc>
          <w:tcPr>
            <w:tcW w:w="3031" w:type="dxa"/>
            <w:tcBorders>
              <w:top w:val="single" w:sz="4" w:space="0" w:color="95B3D7"/>
              <w:left w:val="nil"/>
              <w:bottom w:val="single" w:sz="4" w:space="0" w:color="95B3D7"/>
              <w:right w:val="nil"/>
            </w:tcBorders>
            <w:shd w:val="clear" w:color="4F81BD" w:fill="4F81BD"/>
            <w:vAlign w:val="bottom"/>
            <w:hideMark/>
          </w:tcPr>
          <w:p w14:paraId="10295FC8" w14:textId="77777777" w:rsidR="00770C23" w:rsidRPr="00770C23" w:rsidRDefault="00770C23" w:rsidP="00770C23">
            <w:pPr>
              <w:spacing w:after="0" w:line="240" w:lineRule="auto"/>
              <w:rPr>
                <w:rFonts w:ascii="Calibri" w:eastAsia="Times New Roman" w:hAnsi="Calibri" w:cs="Calibri"/>
                <w:b/>
                <w:bCs/>
                <w:color w:val="FFFFFF"/>
                <w:lang w:val="en-US"/>
              </w:rPr>
            </w:pPr>
            <w:r w:rsidRPr="00770C23">
              <w:rPr>
                <w:rFonts w:ascii="Calibri" w:eastAsia="Times New Roman" w:hAnsi="Calibri" w:cs="Calibri"/>
                <w:b/>
                <w:bCs/>
                <w:color w:val="FFFFFF"/>
                <w:lang w:val="en-US"/>
              </w:rPr>
              <w:t>Description</w:t>
            </w:r>
          </w:p>
        </w:tc>
        <w:tc>
          <w:tcPr>
            <w:tcW w:w="1022" w:type="dxa"/>
            <w:tcBorders>
              <w:top w:val="single" w:sz="4" w:space="0" w:color="95B3D7"/>
              <w:left w:val="nil"/>
              <w:bottom w:val="single" w:sz="4" w:space="0" w:color="95B3D7"/>
              <w:right w:val="nil"/>
            </w:tcBorders>
            <w:shd w:val="clear" w:color="4F81BD" w:fill="4F81BD"/>
            <w:vAlign w:val="bottom"/>
            <w:hideMark/>
          </w:tcPr>
          <w:p w14:paraId="1E4C2518" w14:textId="77777777" w:rsidR="00770C23" w:rsidRPr="00770C23" w:rsidRDefault="00770C23" w:rsidP="00770C23">
            <w:pPr>
              <w:spacing w:after="0" w:line="240" w:lineRule="auto"/>
              <w:jc w:val="center"/>
              <w:rPr>
                <w:rFonts w:ascii="Calibri" w:eastAsia="Times New Roman" w:hAnsi="Calibri" w:cs="Calibri"/>
                <w:b/>
                <w:bCs/>
                <w:color w:val="FFFFFF"/>
                <w:lang w:val="en-US"/>
              </w:rPr>
            </w:pPr>
            <w:r w:rsidRPr="00770C23">
              <w:rPr>
                <w:rFonts w:ascii="Calibri" w:eastAsia="Times New Roman" w:hAnsi="Calibri" w:cs="Calibri"/>
                <w:b/>
                <w:bCs/>
                <w:color w:val="FFFFFF"/>
                <w:lang w:val="en-US"/>
              </w:rPr>
              <w:t>Start Dates</w:t>
            </w:r>
          </w:p>
        </w:tc>
        <w:tc>
          <w:tcPr>
            <w:tcW w:w="1022" w:type="dxa"/>
            <w:tcBorders>
              <w:top w:val="single" w:sz="4" w:space="0" w:color="95B3D7"/>
              <w:left w:val="nil"/>
              <w:bottom w:val="single" w:sz="4" w:space="0" w:color="95B3D7"/>
              <w:right w:val="nil"/>
            </w:tcBorders>
            <w:shd w:val="clear" w:color="4F81BD" w:fill="4F81BD"/>
            <w:vAlign w:val="bottom"/>
            <w:hideMark/>
          </w:tcPr>
          <w:p w14:paraId="6A37CE5A" w14:textId="77777777" w:rsidR="00770C23" w:rsidRPr="00770C23" w:rsidRDefault="00770C23" w:rsidP="00770C23">
            <w:pPr>
              <w:spacing w:after="0" w:line="240" w:lineRule="auto"/>
              <w:jc w:val="center"/>
              <w:rPr>
                <w:rFonts w:ascii="Calibri" w:eastAsia="Times New Roman" w:hAnsi="Calibri" w:cs="Calibri"/>
                <w:b/>
                <w:bCs/>
                <w:color w:val="FFFFFF"/>
                <w:lang w:val="en-US"/>
              </w:rPr>
            </w:pPr>
            <w:r w:rsidRPr="00770C23">
              <w:rPr>
                <w:rFonts w:ascii="Calibri" w:eastAsia="Times New Roman" w:hAnsi="Calibri" w:cs="Calibri"/>
                <w:b/>
                <w:bCs/>
                <w:color w:val="FFFFFF"/>
                <w:lang w:val="en-US"/>
              </w:rPr>
              <w:t>Max Time to Study @ NU</w:t>
            </w:r>
          </w:p>
        </w:tc>
        <w:tc>
          <w:tcPr>
            <w:tcW w:w="1040" w:type="dxa"/>
            <w:tcBorders>
              <w:top w:val="single" w:sz="4" w:space="0" w:color="95B3D7"/>
              <w:left w:val="nil"/>
              <w:bottom w:val="single" w:sz="4" w:space="0" w:color="95B3D7"/>
              <w:right w:val="nil"/>
            </w:tcBorders>
            <w:shd w:val="clear" w:color="4F81BD" w:fill="4F81BD"/>
            <w:vAlign w:val="bottom"/>
            <w:hideMark/>
          </w:tcPr>
          <w:p w14:paraId="79F43B38" w14:textId="77777777" w:rsidR="00770C23" w:rsidRPr="00770C23" w:rsidRDefault="00770C23" w:rsidP="00770C23">
            <w:pPr>
              <w:spacing w:after="0" w:line="240" w:lineRule="auto"/>
              <w:rPr>
                <w:rFonts w:ascii="Calibri" w:eastAsia="Times New Roman" w:hAnsi="Calibri" w:cs="Calibri"/>
                <w:b/>
                <w:bCs/>
                <w:color w:val="FFFFFF"/>
                <w:lang w:val="en-US"/>
              </w:rPr>
            </w:pPr>
            <w:r w:rsidRPr="00770C23">
              <w:rPr>
                <w:rFonts w:ascii="Calibri" w:eastAsia="Times New Roman" w:hAnsi="Calibri" w:cs="Calibri"/>
                <w:b/>
                <w:bCs/>
                <w:color w:val="FFFFFF"/>
                <w:lang w:val="en-US"/>
              </w:rPr>
              <w:t xml:space="preserve"> Deposit </w:t>
            </w:r>
          </w:p>
        </w:tc>
        <w:tc>
          <w:tcPr>
            <w:tcW w:w="1408" w:type="dxa"/>
            <w:tcBorders>
              <w:top w:val="single" w:sz="4" w:space="0" w:color="95B3D7"/>
              <w:left w:val="nil"/>
              <w:bottom w:val="single" w:sz="4" w:space="0" w:color="95B3D7"/>
              <w:right w:val="nil"/>
            </w:tcBorders>
            <w:shd w:val="clear" w:color="4F81BD" w:fill="4F81BD"/>
            <w:vAlign w:val="bottom"/>
            <w:hideMark/>
          </w:tcPr>
          <w:p w14:paraId="2990BC18" w14:textId="080A5E47" w:rsidR="00770C23" w:rsidRPr="00770C23" w:rsidRDefault="00770C23" w:rsidP="004C30BA">
            <w:pPr>
              <w:spacing w:after="0" w:line="240" w:lineRule="auto"/>
              <w:jc w:val="center"/>
              <w:rPr>
                <w:rFonts w:ascii="Calibri" w:eastAsia="Times New Roman" w:hAnsi="Calibri" w:cs="Calibri"/>
                <w:b/>
                <w:bCs/>
                <w:color w:val="FFFFFF"/>
                <w:lang w:val="en-US"/>
              </w:rPr>
            </w:pPr>
            <w:r w:rsidRPr="00770C23">
              <w:rPr>
                <w:rFonts w:ascii="Calibri" w:eastAsia="Times New Roman" w:hAnsi="Calibri" w:cs="Calibri"/>
                <w:b/>
                <w:bCs/>
                <w:color w:val="FFFFFF"/>
                <w:lang w:val="en-US"/>
              </w:rPr>
              <w:t xml:space="preserve"> </w:t>
            </w:r>
            <w:r w:rsidR="00C26168">
              <w:rPr>
                <w:rFonts w:ascii="Calibri" w:eastAsia="Times New Roman" w:hAnsi="Calibri" w:cs="Calibri"/>
                <w:b/>
                <w:bCs/>
                <w:color w:val="FFFFFF"/>
                <w:lang w:val="en-US"/>
              </w:rPr>
              <w:t>Stage</w:t>
            </w:r>
            <w:r w:rsidRPr="00770C23">
              <w:rPr>
                <w:rFonts w:ascii="Calibri" w:eastAsia="Times New Roman" w:hAnsi="Calibri" w:cs="Calibri"/>
                <w:b/>
                <w:bCs/>
                <w:color w:val="FFFFFF"/>
                <w:lang w:val="en-US"/>
              </w:rPr>
              <w:t xml:space="preserve"> Tuition/Fees (prior to discounts/ scholarships) </w:t>
            </w:r>
          </w:p>
        </w:tc>
        <w:tc>
          <w:tcPr>
            <w:tcW w:w="940" w:type="dxa"/>
            <w:tcBorders>
              <w:top w:val="single" w:sz="4" w:space="0" w:color="95B3D7"/>
              <w:left w:val="nil"/>
              <w:bottom w:val="single" w:sz="4" w:space="0" w:color="95B3D7"/>
              <w:right w:val="nil"/>
            </w:tcBorders>
            <w:shd w:val="clear" w:color="4F81BD" w:fill="4F81BD"/>
            <w:vAlign w:val="bottom"/>
            <w:hideMark/>
          </w:tcPr>
          <w:p w14:paraId="308CBC29" w14:textId="7FCD923B" w:rsidR="00770C23" w:rsidRPr="00770C23" w:rsidRDefault="00770C23" w:rsidP="00770C23">
            <w:pPr>
              <w:spacing w:after="0" w:line="240" w:lineRule="auto"/>
              <w:jc w:val="center"/>
              <w:rPr>
                <w:rFonts w:ascii="Calibri" w:eastAsia="Times New Roman" w:hAnsi="Calibri" w:cs="Calibri"/>
                <w:b/>
                <w:bCs/>
                <w:color w:val="FFFFFF"/>
                <w:lang w:val="en-US"/>
              </w:rPr>
            </w:pPr>
            <w:r w:rsidRPr="00770C23">
              <w:rPr>
                <w:rFonts w:ascii="Calibri" w:eastAsia="Times New Roman" w:hAnsi="Calibri" w:cs="Calibri"/>
                <w:b/>
                <w:bCs/>
                <w:color w:val="FFFFFF"/>
                <w:lang w:val="en-US"/>
              </w:rPr>
              <w:t xml:space="preserve"> Dep</w:t>
            </w:r>
            <w:r w:rsidR="003A183C">
              <w:rPr>
                <w:rFonts w:ascii="Calibri" w:eastAsia="Times New Roman" w:hAnsi="Calibri" w:cs="Calibri"/>
                <w:b/>
                <w:bCs/>
                <w:color w:val="FFFFFF"/>
                <w:lang w:val="en-US"/>
              </w:rPr>
              <w:t>osit</w:t>
            </w:r>
            <w:r w:rsidRPr="00770C23">
              <w:rPr>
                <w:rFonts w:ascii="Calibri" w:eastAsia="Times New Roman" w:hAnsi="Calibri" w:cs="Calibri"/>
                <w:b/>
                <w:bCs/>
                <w:color w:val="FFFFFF"/>
                <w:lang w:val="en-US"/>
              </w:rPr>
              <w:t xml:space="preserve"> &amp; Fees Paid to </w:t>
            </w:r>
          </w:p>
        </w:tc>
        <w:tc>
          <w:tcPr>
            <w:tcW w:w="1036" w:type="dxa"/>
            <w:tcBorders>
              <w:top w:val="single" w:sz="4" w:space="0" w:color="95B3D7"/>
              <w:left w:val="nil"/>
              <w:bottom w:val="single" w:sz="4" w:space="0" w:color="95B3D7"/>
              <w:right w:val="nil"/>
            </w:tcBorders>
            <w:shd w:val="clear" w:color="4F81BD" w:fill="4F81BD"/>
            <w:vAlign w:val="bottom"/>
            <w:hideMark/>
          </w:tcPr>
          <w:p w14:paraId="221B49C3" w14:textId="77777777" w:rsidR="00770C23" w:rsidRPr="00770C23" w:rsidRDefault="00770C23" w:rsidP="00770C23">
            <w:pPr>
              <w:spacing w:after="0" w:line="240" w:lineRule="auto"/>
              <w:jc w:val="center"/>
              <w:rPr>
                <w:rFonts w:ascii="Calibri" w:eastAsia="Times New Roman" w:hAnsi="Calibri" w:cs="Calibri"/>
                <w:b/>
                <w:bCs/>
                <w:color w:val="FFFFFF"/>
                <w:lang w:val="en-US"/>
              </w:rPr>
            </w:pPr>
            <w:r w:rsidRPr="00770C23">
              <w:rPr>
                <w:rFonts w:ascii="Calibri" w:eastAsia="Times New Roman" w:hAnsi="Calibri" w:cs="Calibri"/>
                <w:b/>
                <w:bCs/>
                <w:color w:val="FFFFFF"/>
                <w:lang w:val="en-US"/>
              </w:rPr>
              <w:t>SGU Scholar-ship Eligible?</w:t>
            </w:r>
          </w:p>
        </w:tc>
        <w:tc>
          <w:tcPr>
            <w:tcW w:w="1246" w:type="dxa"/>
            <w:tcBorders>
              <w:top w:val="single" w:sz="4" w:space="0" w:color="95B3D7"/>
              <w:left w:val="nil"/>
              <w:bottom w:val="single" w:sz="4" w:space="0" w:color="95B3D7"/>
              <w:right w:val="single" w:sz="4" w:space="0" w:color="95B3D7"/>
            </w:tcBorders>
            <w:shd w:val="clear" w:color="4F81BD" w:fill="4F81BD"/>
            <w:vAlign w:val="bottom"/>
            <w:hideMark/>
          </w:tcPr>
          <w:p w14:paraId="0BE981A7" w14:textId="77777777" w:rsidR="00770C23" w:rsidRPr="00770C23" w:rsidRDefault="00770C23" w:rsidP="00770C23">
            <w:pPr>
              <w:spacing w:after="0" w:line="240" w:lineRule="auto"/>
              <w:rPr>
                <w:rFonts w:ascii="Calibri" w:eastAsia="Times New Roman" w:hAnsi="Calibri" w:cs="Calibri"/>
                <w:b/>
                <w:bCs/>
                <w:color w:val="FFFFFF"/>
                <w:lang w:val="en-US"/>
              </w:rPr>
            </w:pPr>
            <w:r w:rsidRPr="00770C23">
              <w:rPr>
                <w:rFonts w:ascii="Calibri" w:eastAsia="Times New Roman" w:hAnsi="Calibri" w:cs="Calibri"/>
                <w:b/>
                <w:bCs/>
                <w:color w:val="FFFFFF"/>
                <w:lang w:val="en-US"/>
              </w:rPr>
              <w:t>NU Award Equiv.</w:t>
            </w:r>
          </w:p>
        </w:tc>
      </w:tr>
      <w:tr w:rsidR="00770C23" w:rsidRPr="00770C23" w14:paraId="14A0A661" w14:textId="77777777" w:rsidTr="00841867">
        <w:trPr>
          <w:trHeight w:val="2070"/>
        </w:trPr>
        <w:tc>
          <w:tcPr>
            <w:tcW w:w="1019" w:type="dxa"/>
            <w:tcBorders>
              <w:top w:val="single" w:sz="4" w:space="0" w:color="95B3D7"/>
              <w:left w:val="single" w:sz="4" w:space="0" w:color="95B3D7"/>
              <w:bottom w:val="single" w:sz="4" w:space="0" w:color="95B3D7"/>
              <w:right w:val="nil"/>
            </w:tcBorders>
            <w:shd w:val="clear" w:color="DCE6F1" w:fill="DCE6F1"/>
            <w:vAlign w:val="center"/>
            <w:hideMark/>
          </w:tcPr>
          <w:p w14:paraId="112C7EA4" w14:textId="77777777" w:rsidR="00770C23" w:rsidRPr="00770C23" w:rsidRDefault="00770C23" w:rsidP="00770C23">
            <w:pPr>
              <w:spacing w:after="0" w:line="240" w:lineRule="auto"/>
              <w:jc w:val="center"/>
              <w:rPr>
                <w:rFonts w:ascii="Calibri" w:eastAsia="Times New Roman" w:hAnsi="Calibri" w:cs="Calibri"/>
                <w:color w:val="000000"/>
                <w:lang w:val="en-US"/>
              </w:rPr>
            </w:pPr>
            <w:r w:rsidRPr="00770C23">
              <w:rPr>
                <w:rFonts w:ascii="Calibri" w:eastAsia="Times New Roman" w:hAnsi="Calibri" w:cs="Calibri"/>
                <w:color w:val="000000"/>
                <w:lang w:val="en-US"/>
              </w:rPr>
              <w:t>6-Year MD Program (MD6)</w:t>
            </w:r>
            <w:r w:rsidRPr="00770C23">
              <w:rPr>
                <w:rFonts w:ascii="Calibri" w:eastAsia="Times New Roman" w:hAnsi="Calibri" w:cs="Calibri"/>
                <w:color w:val="000000"/>
                <w:vertAlign w:val="superscript"/>
                <w:lang w:val="en-US"/>
              </w:rPr>
              <w:t>1</w:t>
            </w:r>
          </w:p>
        </w:tc>
        <w:tc>
          <w:tcPr>
            <w:tcW w:w="3031" w:type="dxa"/>
            <w:tcBorders>
              <w:top w:val="single" w:sz="4" w:space="0" w:color="95B3D7"/>
              <w:left w:val="nil"/>
              <w:bottom w:val="single" w:sz="4" w:space="0" w:color="95B3D7"/>
              <w:right w:val="nil"/>
            </w:tcBorders>
            <w:shd w:val="clear" w:color="DCE6F1" w:fill="DCE6F1"/>
            <w:vAlign w:val="center"/>
            <w:hideMark/>
          </w:tcPr>
          <w:p w14:paraId="73030662" w14:textId="04600E85" w:rsidR="00770C23" w:rsidRPr="00770C23" w:rsidRDefault="00F04D2C" w:rsidP="00770C23">
            <w:pPr>
              <w:spacing w:after="0" w:line="240" w:lineRule="auto"/>
              <w:rPr>
                <w:rFonts w:ascii="Calibri" w:eastAsia="Times New Roman" w:hAnsi="Calibri" w:cs="Calibri"/>
                <w:color w:val="000000"/>
                <w:lang w:val="en-US"/>
              </w:rPr>
            </w:pPr>
            <w:r w:rsidRPr="00770C23">
              <w:rPr>
                <w:rFonts w:ascii="Calibri" w:eastAsia="Times New Roman" w:hAnsi="Calibri" w:cs="Calibri"/>
                <w:color w:val="000000"/>
                <w:lang w:val="en-US"/>
              </w:rPr>
              <w:t xml:space="preserve">This stage is aimed at students with High School qualifications from a wide range of countries. </w:t>
            </w:r>
            <w:r w:rsidRPr="00770C23">
              <w:rPr>
                <w:rFonts w:ascii="Calibri" w:eastAsia="Times New Roman" w:hAnsi="Calibri" w:cs="Calibri"/>
                <w:i/>
                <w:iCs/>
                <w:color w:val="000000"/>
                <w:lang w:val="en-US"/>
              </w:rPr>
              <w:t>In order to progress to MD5, students must take the Introduction to Biomedical Sciences module during their Foundation Year.</w:t>
            </w:r>
          </w:p>
        </w:tc>
        <w:tc>
          <w:tcPr>
            <w:tcW w:w="1022" w:type="dxa"/>
            <w:tcBorders>
              <w:top w:val="single" w:sz="4" w:space="0" w:color="95B3D7"/>
              <w:left w:val="nil"/>
              <w:bottom w:val="single" w:sz="4" w:space="0" w:color="95B3D7"/>
              <w:right w:val="nil"/>
            </w:tcBorders>
            <w:shd w:val="clear" w:color="DCE6F1" w:fill="DCE6F1"/>
            <w:vAlign w:val="center"/>
            <w:hideMark/>
          </w:tcPr>
          <w:p w14:paraId="5618CF44" w14:textId="77777777" w:rsidR="00770C23" w:rsidRPr="00770C23" w:rsidRDefault="00770C23" w:rsidP="00770C23">
            <w:pPr>
              <w:spacing w:after="0" w:line="240" w:lineRule="auto"/>
              <w:jc w:val="center"/>
              <w:rPr>
                <w:rFonts w:ascii="Calibri" w:eastAsia="Times New Roman" w:hAnsi="Calibri" w:cs="Calibri"/>
                <w:color w:val="000000"/>
                <w:lang w:val="en-US"/>
              </w:rPr>
            </w:pPr>
            <w:r w:rsidRPr="00770C23">
              <w:rPr>
                <w:rFonts w:ascii="Calibri" w:eastAsia="Times New Roman" w:hAnsi="Calibri" w:cs="Calibri"/>
                <w:color w:val="000000"/>
                <w:lang w:val="en-US"/>
              </w:rPr>
              <w:t>21 Sept 2020</w:t>
            </w:r>
          </w:p>
        </w:tc>
        <w:tc>
          <w:tcPr>
            <w:tcW w:w="1022" w:type="dxa"/>
            <w:tcBorders>
              <w:top w:val="single" w:sz="4" w:space="0" w:color="95B3D7"/>
              <w:left w:val="nil"/>
              <w:bottom w:val="single" w:sz="4" w:space="0" w:color="95B3D7"/>
              <w:right w:val="nil"/>
            </w:tcBorders>
            <w:shd w:val="clear" w:color="DCE6F1" w:fill="DCE6F1"/>
            <w:vAlign w:val="center"/>
            <w:hideMark/>
          </w:tcPr>
          <w:p w14:paraId="10D452AD" w14:textId="77777777" w:rsidR="00770C23" w:rsidRPr="00770C23" w:rsidRDefault="00770C23" w:rsidP="00770C23">
            <w:pPr>
              <w:spacing w:after="0" w:line="240" w:lineRule="auto"/>
              <w:jc w:val="center"/>
              <w:rPr>
                <w:rFonts w:ascii="Calibri" w:eastAsia="Times New Roman" w:hAnsi="Calibri" w:cs="Calibri"/>
                <w:color w:val="000000"/>
                <w:lang w:val="en-US"/>
              </w:rPr>
            </w:pPr>
            <w:r w:rsidRPr="00770C23">
              <w:rPr>
                <w:rFonts w:ascii="Calibri" w:eastAsia="Times New Roman" w:hAnsi="Calibri" w:cs="Calibri"/>
                <w:color w:val="000000"/>
                <w:lang w:val="en-US"/>
              </w:rPr>
              <w:t>2 years</w:t>
            </w:r>
            <w:r w:rsidRPr="00770C23">
              <w:rPr>
                <w:rFonts w:ascii="Calibri" w:eastAsia="Times New Roman" w:hAnsi="Calibri" w:cs="Calibri"/>
                <w:color w:val="000000"/>
                <w:lang w:val="en-US"/>
              </w:rPr>
              <w:br/>
              <w:t>(MD6 &amp; MD5)</w:t>
            </w:r>
          </w:p>
        </w:tc>
        <w:tc>
          <w:tcPr>
            <w:tcW w:w="1040" w:type="dxa"/>
            <w:tcBorders>
              <w:top w:val="single" w:sz="4" w:space="0" w:color="95B3D7"/>
              <w:left w:val="nil"/>
              <w:bottom w:val="single" w:sz="4" w:space="0" w:color="95B3D7"/>
              <w:right w:val="nil"/>
            </w:tcBorders>
            <w:shd w:val="clear" w:color="DCE6F1" w:fill="DCE6F1"/>
            <w:noWrap/>
            <w:vAlign w:val="center"/>
            <w:hideMark/>
          </w:tcPr>
          <w:p w14:paraId="3C746AB3" w14:textId="5642439D" w:rsidR="00770C23" w:rsidRPr="00770C23" w:rsidRDefault="00770C23" w:rsidP="00770C23">
            <w:pPr>
              <w:spacing w:after="0" w:line="240" w:lineRule="auto"/>
              <w:rPr>
                <w:rFonts w:ascii="Calibri" w:eastAsia="Times New Roman" w:hAnsi="Calibri" w:cs="Calibri"/>
                <w:color w:val="000000"/>
                <w:lang w:val="en-US"/>
              </w:rPr>
            </w:pPr>
            <w:r w:rsidRPr="00770C23">
              <w:rPr>
                <w:rFonts w:ascii="Calibri" w:eastAsia="Times New Roman" w:hAnsi="Calibri" w:cs="Calibri"/>
                <w:color w:val="000000"/>
                <w:lang w:val="en-US"/>
              </w:rPr>
              <w:t xml:space="preserve"> </w:t>
            </w:r>
            <w:r w:rsidR="00F2238E" w:rsidRPr="00770C23">
              <w:rPr>
                <w:rFonts w:ascii="Calibri" w:eastAsia="Times New Roman" w:hAnsi="Calibri" w:cs="Calibri"/>
                <w:color w:val="000000"/>
                <w:lang w:val="en-US"/>
              </w:rPr>
              <w:t>£ 5,500</w:t>
            </w:r>
            <w:r w:rsidRPr="00770C23">
              <w:rPr>
                <w:rFonts w:ascii="Calibri" w:eastAsia="Times New Roman" w:hAnsi="Calibri" w:cs="Calibri"/>
                <w:color w:val="000000"/>
                <w:lang w:val="en-US"/>
              </w:rPr>
              <w:t xml:space="preserve"> </w:t>
            </w:r>
          </w:p>
        </w:tc>
        <w:tc>
          <w:tcPr>
            <w:tcW w:w="1408" w:type="dxa"/>
            <w:tcBorders>
              <w:top w:val="single" w:sz="4" w:space="0" w:color="95B3D7"/>
              <w:left w:val="nil"/>
              <w:bottom w:val="single" w:sz="4" w:space="0" w:color="95B3D7"/>
              <w:right w:val="nil"/>
            </w:tcBorders>
            <w:shd w:val="clear" w:color="DCE6F1" w:fill="DCE6F1"/>
            <w:noWrap/>
            <w:vAlign w:val="center"/>
            <w:hideMark/>
          </w:tcPr>
          <w:p w14:paraId="592E232D" w14:textId="77777777" w:rsidR="00770C23" w:rsidRPr="00770C23" w:rsidRDefault="00770C23" w:rsidP="00770C23">
            <w:pPr>
              <w:spacing w:after="0" w:line="240" w:lineRule="auto"/>
              <w:rPr>
                <w:rFonts w:ascii="Calibri" w:eastAsia="Times New Roman" w:hAnsi="Calibri" w:cs="Calibri"/>
                <w:color w:val="000000"/>
                <w:lang w:val="en-US"/>
              </w:rPr>
            </w:pPr>
            <w:r w:rsidRPr="00770C23">
              <w:rPr>
                <w:rFonts w:ascii="Calibri" w:eastAsia="Times New Roman" w:hAnsi="Calibri" w:cs="Calibri"/>
                <w:color w:val="000000"/>
                <w:lang w:val="en-US"/>
              </w:rPr>
              <w:t xml:space="preserve"> £        15,500 </w:t>
            </w:r>
          </w:p>
        </w:tc>
        <w:tc>
          <w:tcPr>
            <w:tcW w:w="940" w:type="dxa"/>
            <w:tcBorders>
              <w:top w:val="single" w:sz="4" w:space="0" w:color="95B3D7"/>
              <w:left w:val="nil"/>
              <w:bottom w:val="single" w:sz="4" w:space="0" w:color="95B3D7"/>
              <w:right w:val="nil"/>
            </w:tcBorders>
            <w:shd w:val="clear" w:color="DCE6F1" w:fill="DCE6F1"/>
            <w:noWrap/>
            <w:vAlign w:val="center"/>
            <w:hideMark/>
          </w:tcPr>
          <w:p w14:paraId="5A08607E" w14:textId="77777777" w:rsidR="00770C23" w:rsidRPr="00770C23" w:rsidRDefault="00770C23" w:rsidP="00770C23">
            <w:pPr>
              <w:spacing w:after="0" w:line="240" w:lineRule="auto"/>
              <w:jc w:val="center"/>
              <w:rPr>
                <w:rFonts w:ascii="Calibri" w:eastAsia="Times New Roman" w:hAnsi="Calibri" w:cs="Calibri"/>
                <w:color w:val="000000"/>
                <w:lang w:val="en-US"/>
              </w:rPr>
            </w:pPr>
            <w:r w:rsidRPr="00770C23">
              <w:rPr>
                <w:rFonts w:ascii="Calibri" w:eastAsia="Times New Roman" w:hAnsi="Calibri" w:cs="Calibri"/>
                <w:color w:val="000000"/>
                <w:lang w:val="en-US"/>
              </w:rPr>
              <w:t xml:space="preserve"> NU </w:t>
            </w:r>
          </w:p>
        </w:tc>
        <w:tc>
          <w:tcPr>
            <w:tcW w:w="1036" w:type="dxa"/>
            <w:tcBorders>
              <w:top w:val="single" w:sz="4" w:space="0" w:color="95B3D7"/>
              <w:left w:val="nil"/>
              <w:bottom w:val="single" w:sz="4" w:space="0" w:color="95B3D7"/>
              <w:right w:val="nil"/>
            </w:tcBorders>
            <w:shd w:val="clear" w:color="DCE6F1" w:fill="DCE6F1"/>
            <w:vAlign w:val="center"/>
            <w:hideMark/>
          </w:tcPr>
          <w:p w14:paraId="0E6AB83D" w14:textId="16F9053F" w:rsidR="00770C23" w:rsidRPr="00770C23" w:rsidRDefault="0063349B" w:rsidP="00770C23">
            <w:pPr>
              <w:spacing w:after="0" w:line="240" w:lineRule="auto"/>
              <w:rPr>
                <w:rFonts w:ascii="Calibri" w:eastAsia="Times New Roman" w:hAnsi="Calibri" w:cs="Calibri"/>
                <w:color w:val="000000"/>
                <w:lang w:val="en-US"/>
              </w:rPr>
            </w:pPr>
            <w:r w:rsidRPr="00770C23">
              <w:rPr>
                <w:rFonts w:ascii="Calibri" w:eastAsia="Times New Roman" w:hAnsi="Calibri" w:cs="Calibri"/>
                <w:color w:val="000000"/>
                <w:lang w:val="en-US"/>
              </w:rPr>
              <w:t>NO</w:t>
            </w:r>
            <w:r>
              <w:rPr>
                <w:rFonts w:ascii="Calibri" w:eastAsia="Times New Roman" w:hAnsi="Calibri" w:cs="Calibri"/>
                <w:color w:val="000000"/>
                <w:vertAlign w:val="superscript"/>
                <w:lang w:val="en-US"/>
              </w:rPr>
              <w:t>2</w:t>
            </w:r>
          </w:p>
        </w:tc>
        <w:tc>
          <w:tcPr>
            <w:tcW w:w="1246" w:type="dxa"/>
            <w:tcBorders>
              <w:top w:val="single" w:sz="4" w:space="0" w:color="95B3D7"/>
              <w:left w:val="nil"/>
              <w:bottom w:val="single" w:sz="4" w:space="0" w:color="95B3D7"/>
              <w:right w:val="single" w:sz="4" w:space="0" w:color="95B3D7"/>
            </w:tcBorders>
            <w:shd w:val="clear" w:color="DCE6F1" w:fill="DCE6F1"/>
            <w:vAlign w:val="center"/>
            <w:hideMark/>
          </w:tcPr>
          <w:p w14:paraId="2F2AB64E" w14:textId="77777777" w:rsidR="00770C23" w:rsidRPr="00770C23" w:rsidRDefault="00770C23" w:rsidP="00770C23">
            <w:pPr>
              <w:spacing w:after="0" w:line="240" w:lineRule="auto"/>
              <w:rPr>
                <w:rFonts w:ascii="Calibri" w:eastAsia="Times New Roman" w:hAnsi="Calibri" w:cs="Calibri"/>
                <w:color w:val="000000"/>
                <w:lang w:val="en-US"/>
              </w:rPr>
            </w:pPr>
            <w:r w:rsidRPr="00770C23">
              <w:rPr>
                <w:rFonts w:ascii="Calibri" w:eastAsia="Times New Roman" w:hAnsi="Calibri" w:cs="Calibri"/>
                <w:color w:val="000000"/>
                <w:lang w:val="en-US"/>
              </w:rPr>
              <w:t>Foundation Year</w:t>
            </w:r>
            <w:r w:rsidRPr="00770C23">
              <w:rPr>
                <w:rFonts w:ascii="Calibri" w:eastAsia="Times New Roman" w:hAnsi="Calibri" w:cs="Calibri"/>
                <w:color w:val="000000"/>
                <w:lang w:val="en-US"/>
              </w:rPr>
              <w:br/>
              <w:t>(Level 3)</w:t>
            </w:r>
          </w:p>
        </w:tc>
      </w:tr>
      <w:tr w:rsidR="00770C23" w:rsidRPr="00770C23" w14:paraId="6468BAF5" w14:textId="77777777" w:rsidTr="00841867">
        <w:trPr>
          <w:trHeight w:val="1740"/>
        </w:trPr>
        <w:tc>
          <w:tcPr>
            <w:tcW w:w="1019" w:type="dxa"/>
            <w:tcBorders>
              <w:top w:val="single" w:sz="4" w:space="0" w:color="95B3D7"/>
              <w:left w:val="single" w:sz="4" w:space="0" w:color="95B3D7"/>
              <w:bottom w:val="single" w:sz="4" w:space="0" w:color="95B3D7"/>
              <w:right w:val="nil"/>
            </w:tcBorders>
            <w:shd w:val="clear" w:color="auto" w:fill="auto"/>
            <w:vAlign w:val="center"/>
            <w:hideMark/>
          </w:tcPr>
          <w:p w14:paraId="721B9B1F" w14:textId="77777777" w:rsidR="00770C23" w:rsidRPr="00770C23" w:rsidRDefault="00770C23" w:rsidP="00770C23">
            <w:pPr>
              <w:spacing w:after="0" w:line="240" w:lineRule="auto"/>
              <w:jc w:val="center"/>
              <w:rPr>
                <w:rFonts w:ascii="Calibri" w:eastAsia="Times New Roman" w:hAnsi="Calibri" w:cs="Calibri"/>
                <w:color w:val="000000"/>
                <w:lang w:val="en-US"/>
              </w:rPr>
            </w:pPr>
            <w:r w:rsidRPr="00770C23">
              <w:rPr>
                <w:rFonts w:ascii="Calibri" w:eastAsia="Times New Roman" w:hAnsi="Calibri" w:cs="Calibri"/>
                <w:color w:val="000000"/>
                <w:lang w:val="en-US"/>
              </w:rPr>
              <w:t>5-Year MD Program (MD5)</w:t>
            </w:r>
            <w:r w:rsidRPr="00770C23">
              <w:rPr>
                <w:rFonts w:ascii="Calibri" w:eastAsia="Times New Roman" w:hAnsi="Calibri" w:cs="Calibri"/>
                <w:color w:val="000000"/>
                <w:vertAlign w:val="superscript"/>
                <w:lang w:val="en-US"/>
              </w:rPr>
              <w:t>2</w:t>
            </w:r>
          </w:p>
        </w:tc>
        <w:tc>
          <w:tcPr>
            <w:tcW w:w="3031" w:type="dxa"/>
            <w:tcBorders>
              <w:top w:val="single" w:sz="4" w:space="0" w:color="95B3D7"/>
              <w:left w:val="nil"/>
              <w:bottom w:val="single" w:sz="4" w:space="0" w:color="95B3D7"/>
              <w:right w:val="nil"/>
            </w:tcBorders>
            <w:shd w:val="clear" w:color="auto" w:fill="auto"/>
            <w:vAlign w:val="center"/>
            <w:hideMark/>
          </w:tcPr>
          <w:p w14:paraId="281AE3D5" w14:textId="7419C547" w:rsidR="00770C23" w:rsidRPr="00770C23" w:rsidRDefault="00F04D2C" w:rsidP="00770C23">
            <w:pPr>
              <w:spacing w:after="0" w:line="240" w:lineRule="auto"/>
              <w:rPr>
                <w:rFonts w:ascii="Calibri" w:eastAsia="Times New Roman" w:hAnsi="Calibri" w:cs="Calibri"/>
                <w:color w:val="000000"/>
                <w:lang w:val="en-US"/>
              </w:rPr>
            </w:pPr>
            <w:r w:rsidRPr="00770C23">
              <w:rPr>
                <w:rFonts w:ascii="Calibri" w:eastAsia="Times New Roman" w:hAnsi="Calibri" w:cs="Calibri"/>
                <w:color w:val="000000"/>
                <w:lang w:val="en-US"/>
              </w:rPr>
              <w:t xml:space="preserve">This stage is primarily aimed at students who hold High School level qualifications with </w:t>
            </w:r>
            <w:proofErr w:type="gramStart"/>
            <w:r w:rsidRPr="00770C23">
              <w:rPr>
                <w:rFonts w:ascii="Calibri" w:eastAsia="Times New Roman" w:hAnsi="Calibri" w:cs="Calibri"/>
                <w:color w:val="000000"/>
                <w:lang w:val="en-US"/>
              </w:rPr>
              <w:t>sufficient</w:t>
            </w:r>
            <w:proofErr w:type="gramEnd"/>
            <w:r w:rsidRPr="00770C23">
              <w:rPr>
                <w:rFonts w:ascii="Calibri" w:eastAsia="Times New Roman" w:hAnsi="Calibri" w:cs="Calibri"/>
                <w:color w:val="000000"/>
                <w:lang w:val="en-US"/>
              </w:rPr>
              <w:t xml:space="preserve"> science content, including A-Levels and International Baccalaureate (IB).  </w:t>
            </w:r>
          </w:p>
        </w:tc>
        <w:tc>
          <w:tcPr>
            <w:tcW w:w="1022" w:type="dxa"/>
            <w:tcBorders>
              <w:top w:val="single" w:sz="4" w:space="0" w:color="95B3D7"/>
              <w:left w:val="nil"/>
              <w:bottom w:val="single" w:sz="4" w:space="0" w:color="95B3D7"/>
              <w:right w:val="nil"/>
            </w:tcBorders>
            <w:shd w:val="clear" w:color="auto" w:fill="auto"/>
            <w:vAlign w:val="center"/>
            <w:hideMark/>
          </w:tcPr>
          <w:p w14:paraId="2AA327B0" w14:textId="77777777" w:rsidR="00770C23" w:rsidRPr="00770C23" w:rsidRDefault="00770C23" w:rsidP="00770C23">
            <w:pPr>
              <w:spacing w:after="0" w:line="240" w:lineRule="auto"/>
              <w:jc w:val="center"/>
              <w:rPr>
                <w:rFonts w:ascii="Calibri" w:eastAsia="Times New Roman" w:hAnsi="Calibri" w:cs="Calibri"/>
                <w:color w:val="000000"/>
                <w:lang w:val="en-US"/>
              </w:rPr>
            </w:pPr>
            <w:r w:rsidRPr="00770C23">
              <w:rPr>
                <w:rFonts w:ascii="Calibri" w:eastAsia="Times New Roman" w:hAnsi="Calibri" w:cs="Calibri"/>
                <w:color w:val="000000"/>
                <w:lang w:val="en-US"/>
              </w:rPr>
              <w:t>21 Sept 2020</w:t>
            </w:r>
          </w:p>
        </w:tc>
        <w:tc>
          <w:tcPr>
            <w:tcW w:w="1022" w:type="dxa"/>
            <w:tcBorders>
              <w:top w:val="single" w:sz="4" w:space="0" w:color="95B3D7"/>
              <w:left w:val="nil"/>
              <w:bottom w:val="single" w:sz="4" w:space="0" w:color="95B3D7"/>
              <w:right w:val="nil"/>
            </w:tcBorders>
            <w:shd w:val="clear" w:color="auto" w:fill="auto"/>
            <w:vAlign w:val="center"/>
            <w:hideMark/>
          </w:tcPr>
          <w:p w14:paraId="50366573" w14:textId="77777777" w:rsidR="00770C23" w:rsidRPr="00770C23" w:rsidRDefault="00770C23" w:rsidP="00770C23">
            <w:pPr>
              <w:spacing w:after="0" w:line="240" w:lineRule="auto"/>
              <w:jc w:val="center"/>
              <w:rPr>
                <w:rFonts w:ascii="Calibri" w:eastAsia="Times New Roman" w:hAnsi="Calibri" w:cs="Calibri"/>
                <w:color w:val="000000"/>
                <w:lang w:val="en-US"/>
              </w:rPr>
            </w:pPr>
            <w:r w:rsidRPr="00770C23">
              <w:rPr>
                <w:rFonts w:ascii="Calibri" w:eastAsia="Times New Roman" w:hAnsi="Calibri" w:cs="Calibri"/>
                <w:color w:val="000000"/>
                <w:lang w:val="en-US"/>
              </w:rPr>
              <w:t xml:space="preserve">2 years </w:t>
            </w:r>
            <w:r w:rsidRPr="00770C23">
              <w:rPr>
                <w:rFonts w:ascii="Calibri" w:eastAsia="Times New Roman" w:hAnsi="Calibri" w:cs="Calibri"/>
                <w:color w:val="000000"/>
                <w:lang w:val="en-US"/>
              </w:rPr>
              <w:br/>
              <w:t>(MD5 &amp; MD4)</w:t>
            </w:r>
          </w:p>
        </w:tc>
        <w:tc>
          <w:tcPr>
            <w:tcW w:w="1040" w:type="dxa"/>
            <w:tcBorders>
              <w:top w:val="single" w:sz="4" w:space="0" w:color="95B3D7"/>
              <w:left w:val="nil"/>
              <w:bottom w:val="single" w:sz="4" w:space="0" w:color="95B3D7"/>
              <w:right w:val="nil"/>
            </w:tcBorders>
            <w:shd w:val="clear" w:color="auto" w:fill="auto"/>
            <w:noWrap/>
            <w:vAlign w:val="center"/>
            <w:hideMark/>
          </w:tcPr>
          <w:p w14:paraId="51DED6CD" w14:textId="51D2060E" w:rsidR="00770C23" w:rsidRPr="00770C23" w:rsidRDefault="00770C23" w:rsidP="00770C23">
            <w:pPr>
              <w:spacing w:after="0" w:line="240" w:lineRule="auto"/>
              <w:rPr>
                <w:rFonts w:ascii="Calibri" w:eastAsia="Times New Roman" w:hAnsi="Calibri" w:cs="Calibri"/>
                <w:color w:val="000000"/>
                <w:lang w:val="en-US"/>
              </w:rPr>
            </w:pPr>
            <w:r w:rsidRPr="00770C23">
              <w:rPr>
                <w:rFonts w:ascii="Calibri" w:eastAsia="Times New Roman" w:hAnsi="Calibri" w:cs="Calibri"/>
                <w:color w:val="000000"/>
                <w:lang w:val="en-US"/>
              </w:rPr>
              <w:t xml:space="preserve"> </w:t>
            </w:r>
            <w:r w:rsidR="00F2238E" w:rsidRPr="00770C23">
              <w:rPr>
                <w:rFonts w:ascii="Calibri" w:eastAsia="Times New Roman" w:hAnsi="Calibri" w:cs="Calibri"/>
                <w:color w:val="000000"/>
                <w:lang w:val="en-US"/>
              </w:rPr>
              <w:t>£ 5,500</w:t>
            </w:r>
            <w:r w:rsidRPr="00770C23">
              <w:rPr>
                <w:rFonts w:ascii="Calibri" w:eastAsia="Times New Roman" w:hAnsi="Calibri" w:cs="Calibri"/>
                <w:color w:val="000000"/>
                <w:lang w:val="en-US"/>
              </w:rPr>
              <w:t xml:space="preserve"> </w:t>
            </w:r>
          </w:p>
        </w:tc>
        <w:tc>
          <w:tcPr>
            <w:tcW w:w="1408" w:type="dxa"/>
            <w:tcBorders>
              <w:top w:val="single" w:sz="4" w:space="0" w:color="95B3D7"/>
              <w:left w:val="nil"/>
              <w:bottom w:val="single" w:sz="4" w:space="0" w:color="95B3D7"/>
              <w:right w:val="nil"/>
            </w:tcBorders>
            <w:shd w:val="clear" w:color="auto" w:fill="auto"/>
            <w:noWrap/>
            <w:vAlign w:val="center"/>
            <w:hideMark/>
          </w:tcPr>
          <w:p w14:paraId="6CE35122" w14:textId="77777777" w:rsidR="00770C23" w:rsidRPr="00770C23" w:rsidRDefault="00770C23" w:rsidP="00770C23">
            <w:pPr>
              <w:spacing w:after="0" w:line="240" w:lineRule="auto"/>
              <w:rPr>
                <w:rFonts w:ascii="Calibri" w:eastAsia="Times New Roman" w:hAnsi="Calibri" w:cs="Calibri"/>
                <w:color w:val="000000"/>
                <w:lang w:val="en-US"/>
              </w:rPr>
            </w:pPr>
            <w:r w:rsidRPr="00770C23">
              <w:rPr>
                <w:rFonts w:ascii="Calibri" w:eastAsia="Times New Roman" w:hAnsi="Calibri" w:cs="Calibri"/>
                <w:color w:val="000000"/>
                <w:lang w:val="en-US"/>
              </w:rPr>
              <w:t xml:space="preserve"> £        26,900 </w:t>
            </w:r>
          </w:p>
        </w:tc>
        <w:tc>
          <w:tcPr>
            <w:tcW w:w="940" w:type="dxa"/>
            <w:tcBorders>
              <w:top w:val="single" w:sz="4" w:space="0" w:color="95B3D7"/>
              <w:left w:val="nil"/>
              <w:bottom w:val="single" w:sz="4" w:space="0" w:color="95B3D7"/>
              <w:right w:val="nil"/>
            </w:tcBorders>
            <w:shd w:val="clear" w:color="auto" w:fill="auto"/>
            <w:noWrap/>
            <w:vAlign w:val="center"/>
            <w:hideMark/>
          </w:tcPr>
          <w:p w14:paraId="67AC7D4F" w14:textId="77777777" w:rsidR="00770C23" w:rsidRPr="00770C23" w:rsidRDefault="00770C23" w:rsidP="00770C23">
            <w:pPr>
              <w:spacing w:after="0" w:line="240" w:lineRule="auto"/>
              <w:jc w:val="center"/>
              <w:rPr>
                <w:rFonts w:ascii="Calibri" w:eastAsia="Times New Roman" w:hAnsi="Calibri" w:cs="Calibri"/>
                <w:color w:val="000000"/>
                <w:lang w:val="en-US"/>
              </w:rPr>
            </w:pPr>
            <w:r w:rsidRPr="00770C23">
              <w:rPr>
                <w:rFonts w:ascii="Calibri" w:eastAsia="Times New Roman" w:hAnsi="Calibri" w:cs="Calibri"/>
                <w:color w:val="000000"/>
                <w:lang w:val="en-US"/>
              </w:rPr>
              <w:t xml:space="preserve"> NU </w:t>
            </w:r>
          </w:p>
        </w:tc>
        <w:tc>
          <w:tcPr>
            <w:tcW w:w="1036" w:type="dxa"/>
            <w:tcBorders>
              <w:top w:val="single" w:sz="4" w:space="0" w:color="95B3D7"/>
              <w:left w:val="nil"/>
              <w:bottom w:val="single" w:sz="4" w:space="0" w:color="95B3D7"/>
              <w:right w:val="nil"/>
            </w:tcBorders>
            <w:shd w:val="clear" w:color="auto" w:fill="auto"/>
            <w:vAlign w:val="center"/>
            <w:hideMark/>
          </w:tcPr>
          <w:p w14:paraId="5F50388F" w14:textId="77777777" w:rsidR="00770C23" w:rsidRPr="00770C23" w:rsidRDefault="00770C23" w:rsidP="00770C23">
            <w:pPr>
              <w:spacing w:after="0" w:line="240" w:lineRule="auto"/>
              <w:rPr>
                <w:rFonts w:ascii="Calibri" w:eastAsia="Times New Roman" w:hAnsi="Calibri" w:cs="Calibri"/>
                <w:color w:val="000000"/>
                <w:lang w:val="en-US"/>
              </w:rPr>
            </w:pPr>
            <w:r w:rsidRPr="00770C23">
              <w:rPr>
                <w:rFonts w:ascii="Calibri" w:eastAsia="Times New Roman" w:hAnsi="Calibri" w:cs="Calibri"/>
                <w:color w:val="000000"/>
                <w:lang w:val="en-US"/>
              </w:rPr>
              <w:t>YES - Up to £6,307</w:t>
            </w:r>
          </w:p>
        </w:tc>
        <w:tc>
          <w:tcPr>
            <w:tcW w:w="1246" w:type="dxa"/>
            <w:tcBorders>
              <w:top w:val="single" w:sz="4" w:space="0" w:color="95B3D7"/>
              <w:left w:val="nil"/>
              <w:bottom w:val="single" w:sz="4" w:space="0" w:color="95B3D7"/>
              <w:right w:val="single" w:sz="4" w:space="0" w:color="95B3D7"/>
            </w:tcBorders>
            <w:shd w:val="clear" w:color="auto" w:fill="auto"/>
            <w:vAlign w:val="center"/>
            <w:hideMark/>
          </w:tcPr>
          <w:p w14:paraId="23969F44" w14:textId="77777777" w:rsidR="00770C23" w:rsidRPr="00770C23" w:rsidRDefault="00770C23" w:rsidP="00770C23">
            <w:pPr>
              <w:spacing w:after="0" w:line="240" w:lineRule="auto"/>
              <w:rPr>
                <w:rFonts w:ascii="Calibri" w:eastAsia="Times New Roman" w:hAnsi="Calibri" w:cs="Calibri"/>
                <w:color w:val="000000"/>
                <w:lang w:val="en-US"/>
              </w:rPr>
            </w:pPr>
            <w:proofErr w:type="spellStart"/>
            <w:r w:rsidRPr="00770C23">
              <w:rPr>
                <w:rFonts w:ascii="Calibri" w:eastAsia="Times New Roman" w:hAnsi="Calibri" w:cs="Calibri"/>
                <w:color w:val="000000"/>
                <w:lang w:val="en-US"/>
              </w:rPr>
              <w:t>CertHE</w:t>
            </w:r>
            <w:proofErr w:type="spellEnd"/>
            <w:r w:rsidRPr="00770C23">
              <w:rPr>
                <w:rFonts w:ascii="Calibri" w:eastAsia="Times New Roman" w:hAnsi="Calibri" w:cs="Calibri"/>
                <w:color w:val="000000"/>
                <w:lang w:val="en-US"/>
              </w:rPr>
              <w:br/>
              <w:t>(Level 4)</w:t>
            </w:r>
          </w:p>
        </w:tc>
      </w:tr>
      <w:tr w:rsidR="00770C23" w:rsidRPr="00770C23" w14:paraId="74845052" w14:textId="77777777" w:rsidTr="00841867">
        <w:trPr>
          <w:trHeight w:val="1740"/>
        </w:trPr>
        <w:tc>
          <w:tcPr>
            <w:tcW w:w="1019" w:type="dxa"/>
            <w:tcBorders>
              <w:top w:val="single" w:sz="4" w:space="0" w:color="95B3D7"/>
              <w:left w:val="single" w:sz="4" w:space="0" w:color="95B3D7"/>
              <w:bottom w:val="single" w:sz="4" w:space="0" w:color="95B3D7"/>
              <w:right w:val="nil"/>
            </w:tcBorders>
            <w:shd w:val="clear" w:color="DCE6F1" w:fill="DCE6F1"/>
            <w:vAlign w:val="center"/>
            <w:hideMark/>
          </w:tcPr>
          <w:p w14:paraId="20D93F3E" w14:textId="77777777" w:rsidR="00770C23" w:rsidRPr="00770C23" w:rsidRDefault="00770C23" w:rsidP="00770C23">
            <w:pPr>
              <w:spacing w:after="0" w:line="240" w:lineRule="auto"/>
              <w:jc w:val="center"/>
              <w:rPr>
                <w:rFonts w:ascii="Calibri" w:eastAsia="Times New Roman" w:hAnsi="Calibri" w:cs="Calibri"/>
                <w:color w:val="000000"/>
                <w:lang w:val="en-US"/>
              </w:rPr>
            </w:pPr>
            <w:r w:rsidRPr="00770C23">
              <w:rPr>
                <w:rFonts w:ascii="Calibri" w:eastAsia="Times New Roman" w:hAnsi="Calibri" w:cs="Calibri"/>
                <w:color w:val="000000"/>
                <w:lang w:val="en-US"/>
              </w:rPr>
              <w:t>4-Year MD Program (MD4)</w:t>
            </w:r>
            <w:r w:rsidRPr="00770C23">
              <w:rPr>
                <w:rFonts w:ascii="Calibri" w:eastAsia="Times New Roman" w:hAnsi="Calibri" w:cs="Calibri"/>
                <w:color w:val="000000"/>
                <w:vertAlign w:val="superscript"/>
                <w:lang w:val="en-US"/>
              </w:rPr>
              <w:t>3</w:t>
            </w:r>
          </w:p>
        </w:tc>
        <w:tc>
          <w:tcPr>
            <w:tcW w:w="3031" w:type="dxa"/>
            <w:tcBorders>
              <w:top w:val="single" w:sz="4" w:space="0" w:color="95B3D7"/>
              <w:left w:val="nil"/>
              <w:bottom w:val="single" w:sz="4" w:space="0" w:color="95B3D7"/>
              <w:right w:val="nil"/>
            </w:tcBorders>
            <w:shd w:val="clear" w:color="DCE6F1" w:fill="DCE6F1"/>
            <w:vAlign w:val="center"/>
            <w:hideMark/>
          </w:tcPr>
          <w:p w14:paraId="495BF920" w14:textId="273A5D91" w:rsidR="00770C23" w:rsidRPr="00770C23" w:rsidRDefault="00F04D2C" w:rsidP="00770C23">
            <w:pPr>
              <w:spacing w:after="0" w:line="240" w:lineRule="auto"/>
              <w:rPr>
                <w:rFonts w:ascii="Calibri" w:eastAsia="Times New Roman" w:hAnsi="Calibri" w:cs="Calibri"/>
                <w:color w:val="000000"/>
                <w:lang w:val="en-US"/>
              </w:rPr>
            </w:pPr>
            <w:r w:rsidRPr="00770C23">
              <w:rPr>
                <w:rFonts w:ascii="Calibri" w:eastAsia="Times New Roman" w:hAnsi="Calibri" w:cs="Calibri"/>
                <w:color w:val="000000"/>
                <w:lang w:val="en-US"/>
              </w:rPr>
              <w:t xml:space="preserve">Students eligible for this entry point will already hold a </w:t>
            </w:r>
            <w:r w:rsidR="00482D51" w:rsidRPr="00770C23">
              <w:rPr>
                <w:rFonts w:ascii="Calibri" w:eastAsia="Times New Roman" w:hAnsi="Calibri" w:cs="Calibri"/>
                <w:color w:val="000000"/>
                <w:lang w:val="en-US"/>
              </w:rPr>
              <w:t>bachelor’s</w:t>
            </w:r>
            <w:r w:rsidRPr="00770C23">
              <w:rPr>
                <w:rFonts w:ascii="Calibri" w:eastAsia="Times New Roman" w:hAnsi="Calibri" w:cs="Calibri"/>
                <w:color w:val="000000"/>
                <w:lang w:val="en-US"/>
              </w:rPr>
              <w:t xml:space="preserve"> degree with </w:t>
            </w:r>
            <w:proofErr w:type="gramStart"/>
            <w:r w:rsidRPr="00770C23">
              <w:rPr>
                <w:rFonts w:ascii="Calibri" w:eastAsia="Times New Roman" w:hAnsi="Calibri" w:cs="Calibri"/>
                <w:color w:val="000000"/>
                <w:lang w:val="en-US"/>
              </w:rPr>
              <w:t>sufficient</w:t>
            </w:r>
            <w:proofErr w:type="gramEnd"/>
            <w:r w:rsidRPr="00770C23">
              <w:rPr>
                <w:rFonts w:ascii="Calibri" w:eastAsia="Times New Roman" w:hAnsi="Calibri" w:cs="Calibri"/>
                <w:color w:val="000000"/>
                <w:lang w:val="en-US"/>
              </w:rPr>
              <w:t xml:space="preserve"> science content. After successful completion of the NU portion (year 1 of Basic Sciences), students will spend their second year studying at SGU in Grenada</w:t>
            </w:r>
          </w:p>
        </w:tc>
        <w:tc>
          <w:tcPr>
            <w:tcW w:w="1022" w:type="dxa"/>
            <w:tcBorders>
              <w:top w:val="single" w:sz="4" w:space="0" w:color="95B3D7"/>
              <w:left w:val="nil"/>
              <w:bottom w:val="single" w:sz="4" w:space="0" w:color="95B3D7"/>
              <w:right w:val="nil"/>
            </w:tcBorders>
            <w:shd w:val="clear" w:color="DCE6F1" w:fill="DCE6F1"/>
            <w:vAlign w:val="center"/>
            <w:hideMark/>
          </w:tcPr>
          <w:p w14:paraId="68712507" w14:textId="77777777" w:rsidR="00770C23" w:rsidRPr="00770C23" w:rsidRDefault="00770C23" w:rsidP="00770C23">
            <w:pPr>
              <w:spacing w:after="0" w:line="240" w:lineRule="auto"/>
              <w:jc w:val="center"/>
              <w:rPr>
                <w:rFonts w:ascii="Calibri" w:eastAsia="Times New Roman" w:hAnsi="Calibri" w:cs="Calibri"/>
                <w:color w:val="000000"/>
                <w:lang w:val="en-US"/>
              </w:rPr>
            </w:pPr>
            <w:r w:rsidRPr="00770C23">
              <w:rPr>
                <w:rFonts w:ascii="Calibri" w:eastAsia="Times New Roman" w:hAnsi="Calibri" w:cs="Calibri"/>
                <w:color w:val="000000"/>
                <w:lang w:val="en-US"/>
              </w:rPr>
              <w:t xml:space="preserve">7 Aug 2020,  </w:t>
            </w:r>
            <w:r w:rsidRPr="00770C23">
              <w:rPr>
                <w:rFonts w:ascii="Calibri" w:eastAsia="Times New Roman" w:hAnsi="Calibri" w:cs="Calibri"/>
                <w:color w:val="000000"/>
                <w:lang w:val="en-US"/>
              </w:rPr>
              <w:br/>
              <w:t>8 Jan 2021</w:t>
            </w:r>
          </w:p>
        </w:tc>
        <w:tc>
          <w:tcPr>
            <w:tcW w:w="1022" w:type="dxa"/>
            <w:tcBorders>
              <w:top w:val="single" w:sz="4" w:space="0" w:color="95B3D7"/>
              <w:left w:val="nil"/>
              <w:bottom w:val="single" w:sz="4" w:space="0" w:color="95B3D7"/>
              <w:right w:val="nil"/>
            </w:tcBorders>
            <w:shd w:val="clear" w:color="DCE6F1" w:fill="DCE6F1"/>
            <w:vAlign w:val="center"/>
            <w:hideMark/>
          </w:tcPr>
          <w:p w14:paraId="57A666AB" w14:textId="77777777" w:rsidR="00770C23" w:rsidRPr="00770C23" w:rsidRDefault="00770C23" w:rsidP="00770C23">
            <w:pPr>
              <w:spacing w:after="0" w:line="240" w:lineRule="auto"/>
              <w:jc w:val="center"/>
              <w:rPr>
                <w:rFonts w:ascii="Calibri" w:eastAsia="Times New Roman" w:hAnsi="Calibri" w:cs="Calibri"/>
                <w:color w:val="000000"/>
                <w:lang w:val="en-US"/>
              </w:rPr>
            </w:pPr>
            <w:r w:rsidRPr="00770C23">
              <w:rPr>
                <w:rFonts w:ascii="Calibri" w:eastAsia="Times New Roman" w:hAnsi="Calibri" w:cs="Calibri"/>
                <w:color w:val="000000"/>
                <w:lang w:val="en-US"/>
              </w:rPr>
              <w:t>1 year</w:t>
            </w:r>
            <w:r w:rsidRPr="00770C23">
              <w:rPr>
                <w:rFonts w:ascii="Calibri" w:eastAsia="Times New Roman" w:hAnsi="Calibri" w:cs="Calibri"/>
                <w:color w:val="000000"/>
                <w:lang w:val="en-US"/>
              </w:rPr>
              <w:br/>
              <w:t>(MD4 stage only)</w:t>
            </w:r>
          </w:p>
        </w:tc>
        <w:tc>
          <w:tcPr>
            <w:tcW w:w="1040" w:type="dxa"/>
            <w:tcBorders>
              <w:top w:val="single" w:sz="4" w:space="0" w:color="95B3D7"/>
              <w:left w:val="nil"/>
              <w:bottom w:val="single" w:sz="4" w:space="0" w:color="95B3D7"/>
              <w:right w:val="nil"/>
            </w:tcBorders>
            <w:shd w:val="clear" w:color="DCE6F1" w:fill="DCE6F1"/>
            <w:noWrap/>
            <w:vAlign w:val="center"/>
            <w:hideMark/>
          </w:tcPr>
          <w:p w14:paraId="25BD81E5" w14:textId="2709D447" w:rsidR="00770C23" w:rsidRPr="00770C23" w:rsidRDefault="00770C23" w:rsidP="00770C23">
            <w:pPr>
              <w:spacing w:after="0" w:line="240" w:lineRule="auto"/>
              <w:rPr>
                <w:rFonts w:ascii="Calibri" w:eastAsia="Times New Roman" w:hAnsi="Calibri" w:cs="Calibri"/>
                <w:color w:val="000000"/>
                <w:lang w:val="en-US"/>
              </w:rPr>
            </w:pPr>
            <w:r w:rsidRPr="00770C23">
              <w:rPr>
                <w:rFonts w:ascii="Calibri" w:eastAsia="Times New Roman" w:hAnsi="Calibri" w:cs="Calibri"/>
                <w:color w:val="000000"/>
                <w:lang w:val="en-US"/>
              </w:rPr>
              <w:t xml:space="preserve"> </w:t>
            </w:r>
            <w:r w:rsidR="00F2238E" w:rsidRPr="00770C23">
              <w:rPr>
                <w:rFonts w:ascii="Calibri" w:eastAsia="Times New Roman" w:hAnsi="Calibri" w:cs="Calibri"/>
                <w:color w:val="000000"/>
                <w:lang w:val="en-US"/>
              </w:rPr>
              <w:t>$ 5,000</w:t>
            </w:r>
            <w:r w:rsidRPr="00770C23">
              <w:rPr>
                <w:rFonts w:ascii="Calibri" w:eastAsia="Times New Roman" w:hAnsi="Calibri" w:cs="Calibri"/>
                <w:color w:val="000000"/>
                <w:lang w:val="en-US"/>
              </w:rPr>
              <w:t xml:space="preserve"> </w:t>
            </w:r>
          </w:p>
        </w:tc>
        <w:tc>
          <w:tcPr>
            <w:tcW w:w="1408" w:type="dxa"/>
            <w:tcBorders>
              <w:top w:val="single" w:sz="4" w:space="0" w:color="95B3D7"/>
              <w:left w:val="nil"/>
              <w:bottom w:val="single" w:sz="4" w:space="0" w:color="95B3D7"/>
              <w:right w:val="nil"/>
            </w:tcBorders>
            <w:shd w:val="clear" w:color="DCE6F1" w:fill="DCE6F1"/>
            <w:noWrap/>
            <w:vAlign w:val="center"/>
            <w:hideMark/>
          </w:tcPr>
          <w:p w14:paraId="722CE483" w14:textId="71EC18F9" w:rsidR="00770C23" w:rsidRPr="00770C23" w:rsidRDefault="00770C23" w:rsidP="00770C23">
            <w:pPr>
              <w:spacing w:after="0" w:line="240" w:lineRule="auto"/>
              <w:rPr>
                <w:rFonts w:ascii="Calibri" w:eastAsia="Times New Roman" w:hAnsi="Calibri" w:cs="Calibri"/>
                <w:color w:val="000000"/>
                <w:lang w:val="en-US"/>
              </w:rPr>
            </w:pPr>
            <w:r w:rsidRPr="00770C23">
              <w:rPr>
                <w:rFonts w:ascii="Calibri" w:eastAsia="Times New Roman" w:hAnsi="Calibri" w:cs="Calibri"/>
                <w:color w:val="000000"/>
                <w:lang w:val="en-US"/>
              </w:rPr>
              <w:t>$       65,</w:t>
            </w:r>
            <w:r w:rsidR="00482D51" w:rsidRPr="00770C23">
              <w:rPr>
                <w:rFonts w:ascii="Calibri" w:eastAsia="Times New Roman" w:hAnsi="Calibri" w:cs="Calibri"/>
                <w:color w:val="000000"/>
                <w:lang w:val="en-US"/>
              </w:rPr>
              <w:t>030</w:t>
            </w:r>
            <w:r w:rsidR="00482D51">
              <w:rPr>
                <w:rFonts w:ascii="Calibri" w:eastAsia="Times New Roman" w:hAnsi="Calibri" w:cs="Calibri"/>
                <w:color w:val="000000"/>
                <w:vertAlign w:val="superscript"/>
                <w:lang w:val="en-US"/>
              </w:rPr>
              <w:t>1</w:t>
            </w:r>
          </w:p>
        </w:tc>
        <w:tc>
          <w:tcPr>
            <w:tcW w:w="940" w:type="dxa"/>
            <w:tcBorders>
              <w:top w:val="single" w:sz="4" w:space="0" w:color="95B3D7"/>
              <w:left w:val="nil"/>
              <w:bottom w:val="single" w:sz="4" w:space="0" w:color="95B3D7"/>
              <w:right w:val="nil"/>
            </w:tcBorders>
            <w:shd w:val="clear" w:color="DCE6F1" w:fill="DCE6F1"/>
            <w:noWrap/>
            <w:vAlign w:val="center"/>
            <w:hideMark/>
          </w:tcPr>
          <w:p w14:paraId="3F4769E1" w14:textId="77777777" w:rsidR="00770C23" w:rsidRPr="00770C23" w:rsidRDefault="00770C23" w:rsidP="00770C23">
            <w:pPr>
              <w:spacing w:after="0" w:line="240" w:lineRule="auto"/>
              <w:jc w:val="center"/>
              <w:rPr>
                <w:rFonts w:ascii="Calibri" w:eastAsia="Times New Roman" w:hAnsi="Calibri" w:cs="Calibri"/>
                <w:color w:val="000000"/>
                <w:lang w:val="en-US"/>
              </w:rPr>
            </w:pPr>
            <w:r w:rsidRPr="00770C23">
              <w:rPr>
                <w:rFonts w:ascii="Calibri" w:eastAsia="Times New Roman" w:hAnsi="Calibri" w:cs="Calibri"/>
                <w:color w:val="000000"/>
                <w:lang w:val="en-US"/>
              </w:rPr>
              <w:t xml:space="preserve"> SGU </w:t>
            </w:r>
          </w:p>
        </w:tc>
        <w:tc>
          <w:tcPr>
            <w:tcW w:w="1036" w:type="dxa"/>
            <w:tcBorders>
              <w:top w:val="single" w:sz="4" w:space="0" w:color="95B3D7"/>
              <w:left w:val="nil"/>
              <w:bottom w:val="single" w:sz="4" w:space="0" w:color="95B3D7"/>
              <w:right w:val="nil"/>
            </w:tcBorders>
            <w:shd w:val="clear" w:color="DCE6F1" w:fill="DCE6F1"/>
            <w:vAlign w:val="center"/>
            <w:hideMark/>
          </w:tcPr>
          <w:p w14:paraId="31B5B2FB" w14:textId="77777777" w:rsidR="00770C23" w:rsidRPr="00770C23" w:rsidRDefault="00770C23" w:rsidP="00770C23">
            <w:pPr>
              <w:spacing w:after="0" w:line="240" w:lineRule="auto"/>
              <w:rPr>
                <w:rFonts w:ascii="Calibri" w:eastAsia="Times New Roman" w:hAnsi="Calibri" w:cs="Calibri"/>
                <w:color w:val="000000"/>
                <w:lang w:val="en-US"/>
              </w:rPr>
            </w:pPr>
            <w:r w:rsidRPr="00770C23">
              <w:rPr>
                <w:rFonts w:ascii="Calibri" w:eastAsia="Times New Roman" w:hAnsi="Calibri" w:cs="Calibri"/>
                <w:color w:val="000000"/>
                <w:lang w:val="en-US"/>
              </w:rPr>
              <w:t>YES - Amt set by SGU</w:t>
            </w:r>
          </w:p>
        </w:tc>
        <w:tc>
          <w:tcPr>
            <w:tcW w:w="1246" w:type="dxa"/>
            <w:tcBorders>
              <w:top w:val="single" w:sz="4" w:space="0" w:color="95B3D7"/>
              <w:left w:val="nil"/>
              <w:bottom w:val="single" w:sz="4" w:space="0" w:color="95B3D7"/>
              <w:right w:val="single" w:sz="4" w:space="0" w:color="95B3D7"/>
            </w:tcBorders>
            <w:shd w:val="clear" w:color="DCE6F1" w:fill="DCE6F1"/>
            <w:vAlign w:val="center"/>
            <w:hideMark/>
          </w:tcPr>
          <w:p w14:paraId="22A023A6" w14:textId="77777777" w:rsidR="00770C23" w:rsidRPr="00770C23" w:rsidRDefault="00770C23" w:rsidP="00770C23">
            <w:pPr>
              <w:spacing w:after="0" w:line="240" w:lineRule="auto"/>
              <w:rPr>
                <w:rFonts w:ascii="Calibri" w:eastAsia="Times New Roman" w:hAnsi="Calibri" w:cs="Calibri"/>
                <w:color w:val="000000"/>
                <w:lang w:val="en-US"/>
              </w:rPr>
            </w:pPr>
            <w:r w:rsidRPr="00770C23">
              <w:rPr>
                <w:rFonts w:ascii="Calibri" w:eastAsia="Times New Roman" w:hAnsi="Calibri" w:cs="Calibri"/>
                <w:color w:val="000000"/>
                <w:lang w:val="en-US"/>
              </w:rPr>
              <w:t>DipHE</w:t>
            </w:r>
            <w:r w:rsidRPr="00770C23">
              <w:rPr>
                <w:rFonts w:ascii="Calibri" w:eastAsia="Times New Roman" w:hAnsi="Calibri" w:cs="Calibri"/>
                <w:color w:val="000000"/>
                <w:lang w:val="en-US"/>
              </w:rPr>
              <w:br/>
              <w:t>(Level 5)</w:t>
            </w:r>
          </w:p>
        </w:tc>
      </w:tr>
      <w:tr w:rsidR="00770C23" w:rsidRPr="00770C23" w14:paraId="1A054973" w14:textId="77777777" w:rsidTr="00157173">
        <w:trPr>
          <w:trHeight w:val="330"/>
        </w:trPr>
        <w:tc>
          <w:tcPr>
            <w:tcW w:w="11764" w:type="dxa"/>
            <w:gridSpan w:val="9"/>
            <w:tcBorders>
              <w:top w:val="nil"/>
              <w:left w:val="nil"/>
              <w:bottom w:val="nil"/>
              <w:right w:val="nil"/>
            </w:tcBorders>
            <w:shd w:val="clear" w:color="000000" w:fill="FFFFFF"/>
            <w:hideMark/>
          </w:tcPr>
          <w:p w14:paraId="48AC6E03" w14:textId="31B167BE" w:rsidR="00770C23" w:rsidRPr="00770C23" w:rsidRDefault="0063349B" w:rsidP="00770C23">
            <w:pPr>
              <w:spacing w:after="0" w:line="240" w:lineRule="auto"/>
              <w:rPr>
                <w:rFonts w:ascii="Calibri" w:eastAsia="Times New Roman" w:hAnsi="Calibri" w:cs="Calibri"/>
                <w:color w:val="000000"/>
                <w:lang w:val="en-US"/>
              </w:rPr>
            </w:pPr>
            <w:r>
              <w:rPr>
                <w:rFonts w:ascii="Calibri" w:eastAsia="Times New Roman" w:hAnsi="Calibri" w:cs="Calibri"/>
                <w:color w:val="000000"/>
                <w:vertAlign w:val="superscript"/>
                <w:lang w:val="en-US"/>
              </w:rPr>
              <w:t>1</w:t>
            </w:r>
            <w:r w:rsidRPr="00770C23">
              <w:rPr>
                <w:rFonts w:ascii="Calibri" w:eastAsia="Times New Roman" w:hAnsi="Calibri" w:cs="Calibri"/>
                <w:color w:val="000000"/>
                <w:lang w:val="en-US"/>
              </w:rPr>
              <w:t xml:space="preserve"> </w:t>
            </w:r>
            <w:r w:rsidR="00770C23" w:rsidRPr="00770C23">
              <w:rPr>
                <w:rFonts w:ascii="Calibri" w:eastAsia="Times New Roman" w:hAnsi="Calibri" w:cs="Calibri"/>
                <w:color w:val="000000"/>
                <w:lang w:val="en-US"/>
              </w:rPr>
              <w:t>Tuition shown above is as of the 2020-21 Academic Year and is only for year 1 of the Four-Year MD Program.</w:t>
            </w:r>
          </w:p>
        </w:tc>
      </w:tr>
      <w:tr w:rsidR="00770C23" w:rsidRPr="00770C23" w14:paraId="35DFCC3B" w14:textId="77777777" w:rsidTr="00157173">
        <w:trPr>
          <w:trHeight w:val="930"/>
        </w:trPr>
        <w:tc>
          <w:tcPr>
            <w:tcW w:w="11764" w:type="dxa"/>
            <w:gridSpan w:val="9"/>
            <w:tcBorders>
              <w:top w:val="nil"/>
              <w:left w:val="nil"/>
              <w:bottom w:val="nil"/>
              <w:right w:val="nil"/>
            </w:tcBorders>
            <w:shd w:val="clear" w:color="000000" w:fill="FFFFFF"/>
            <w:hideMark/>
          </w:tcPr>
          <w:p w14:paraId="57DF8AE1" w14:textId="6EA0DC43" w:rsidR="00770C23" w:rsidRPr="00770C23" w:rsidRDefault="0063349B" w:rsidP="00770C23">
            <w:pPr>
              <w:spacing w:after="0" w:line="240" w:lineRule="auto"/>
              <w:rPr>
                <w:rFonts w:ascii="Calibri" w:eastAsia="Times New Roman" w:hAnsi="Calibri" w:cs="Calibri"/>
                <w:color w:val="000000"/>
                <w:lang w:val="en-US"/>
              </w:rPr>
            </w:pPr>
            <w:r>
              <w:rPr>
                <w:rFonts w:ascii="Calibri" w:eastAsia="Times New Roman" w:hAnsi="Calibri" w:cs="Calibri"/>
                <w:color w:val="000000"/>
                <w:vertAlign w:val="superscript"/>
                <w:lang w:val="en-US"/>
              </w:rPr>
              <w:t>2</w:t>
            </w:r>
            <w:r w:rsidRPr="00770C23">
              <w:rPr>
                <w:rFonts w:ascii="Calibri" w:eastAsia="Times New Roman" w:hAnsi="Calibri" w:cs="Calibri"/>
                <w:color w:val="000000"/>
                <w:lang w:val="en-US"/>
              </w:rPr>
              <w:t xml:space="preserve"> </w:t>
            </w:r>
            <w:r w:rsidR="00770C23" w:rsidRPr="00770C23">
              <w:rPr>
                <w:rFonts w:ascii="Calibri" w:eastAsia="Times New Roman" w:hAnsi="Calibri" w:cs="Calibri"/>
                <w:color w:val="000000"/>
                <w:lang w:val="en-US"/>
              </w:rPr>
              <w:t xml:space="preserve">Although no portion of an SGU-awarded scholarship to will be applied to the first year of the NU-MD6 Program (due to </w:t>
            </w:r>
            <w:r w:rsidR="00683796" w:rsidRPr="00770C23">
              <w:rPr>
                <w:rFonts w:ascii="Calibri" w:eastAsia="Times New Roman" w:hAnsi="Calibri" w:cs="Calibri"/>
                <w:color w:val="000000"/>
                <w:lang w:val="en-US"/>
              </w:rPr>
              <w:t>its</w:t>
            </w:r>
            <w:r w:rsidR="00770C23" w:rsidRPr="00770C23">
              <w:rPr>
                <w:rFonts w:ascii="Calibri" w:eastAsia="Times New Roman" w:hAnsi="Calibri" w:cs="Calibri"/>
                <w:color w:val="000000"/>
                <w:lang w:val="en-US"/>
              </w:rPr>
              <w:t xml:space="preserve"> comparably low tuition), once </w:t>
            </w:r>
            <w:r w:rsidR="00683796">
              <w:rPr>
                <w:rFonts w:ascii="Calibri" w:eastAsia="Times New Roman" w:hAnsi="Calibri" w:cs="Calibri"/>
                <w:color w:val="000000"/>
                <w:lang w:val="en-US"/>
              </w:rPr>
              <w:t xml:space="preserve">a </w:t>
            </w:r>
            <w:r w:rsidR="00770C23" w:rsidRPr="00770C23">
              <w:rPr>
                <w:rFonts w:ascii="Calibri" w:eastAsia="Times New Roman" w:hAnsi="Calibri" w:cs="Calibri"/>
                <w:color w:val="000000"/>
                <w:lang w:val="en-US"/>
              </w:rPr>
              <w:t>student progress</w:t>
            </w:r>
            <w:r w:rsidR="00683796">
              <w:rPr>
                <w:rFonts w:ascii="Calibri" w:eastAsia="Times New Roman" w:hAnsi="Calibri" w:cs="Calibri"/>
                <w:color w:val="000000"/>
                <w:lang w:val="en-US"/>
              </w:rPr>
              <w:t>es</w:t>
            </w:r>
            <w:r w:rsidR="00770C23" w:rsidRPr="00770C23">
              <w:rPr>
                <w:rFonts w:ascii="Calibri" w:eastAsia="Times New Roman" w:hAnsi="Calibri" w:cs="Calibri"/>
                <w:color w:val="000000"/>
                <w:lang w:val="en-US"/>
              </w:rPr>
              <w:t xml:space="preserve"> through the rest of the years of the program (i.e. MD5, MD4, and beyond), a student's scholarship award will be applied to offset tuition.</w:t>
            </w:r>
          </w:p>
        </w:tc>
      </w:tr>
    </w:tbl>
    <w:p w14:paraId="6BF823B4" w14:textId="77777777" w:rsidR="007D65E3" w:rsidRDefault="007D65E3" w:rsidP="00BC4E41">
      <w:pPr>
        <w:spacing w:after="0"/>
        <w:rPr>
          <w:b/>
          <w:bCs/>
        </w:rPr>
      </w:pPr>
    </w:p>
    <w:p w14:paraId="63C49E2C" w14:textId="1540A49F" w:rsidR="00863A91" w:rsidRDefault="00863A91" w:rsidP="00BC4E41">
      <w:pPr>
        <w:spacing w:after="0"/>
        <w:rPr>
          <w:b/>
          <w:bCs/>
        </w:rPr>
      </w:pPr>
      <w:r>
        <w:rPr>
          <w:b/>
          <w:bCs/>
        </w:rPr>
        <w:t>Admissions</w:t>
      </w:r>
    </w:p>
    <w:p w14:paraId="2A79993B" w14:textId="15F84441" w:rsidR="00863A91" w:rsidRPr="00693D6D" w:rsidRDefault="00863A91" w:rsidP="00BC4E41">
      <w:pPr>
        <w:spacing w:after="0"/>
        <w:rPr>
          <w:b/>
          <w:bCs/>
          <w:sz w:val="12"/>
          <w:szCs w:val="12"/>
        </w:rPr>
      </w:pPr>
    </w:p>
    <w:p w14:paraId="705F2097" w14:textId="71573E54" w:rsidR="00863A91" w:rsidRPr="00863A91" w:rsidRDefault="00863A91" w:rsidP="00BC4E41">
      <w:pPr>
        <w:spacing w:after="0"/>
      </w:pPr>
      <w:r>
        <w:t xml:space="preserve">Applications for all stages will be submitted to SGU via the </w:t>
      </w:r>
      <w:hyperlink r:id="rId10" w:history="1">
        <w:r w:rsidRPr="00863A91">
          <w:rPr>
            <w:rStyle w:val="Hyperlink"/>
          </w:rPr>
          <w:t>online application form</w:t>
        </w:r>
      </w:hyperlink>
      <w:r>
        <w:t xml:space="preserve">.  </w:t>
      </w:r>
      <w:r w:rsidR="00E7663D">
        <w:t xml:space="preserve">All decisions regarding the suitability of applicants for SGU programmes will be made by the SGU admissions team.  </w:t>
      </w:r>
      <w:r>
        <w:t xml:space="preserve">Any enquiries regarding entry criteria or student suitability should be directed to SGU at </w:t>
      </w:r>
      <w:hyperlink r:id="rId11" w:history="1">
        <w:r w:rsidR="00CA5D84" w:rsidRPr="00CA5D84">
          <w:rPr>
            <w:rStyle w:val="Hyperlink"/>
          </w:rPr>
          <w:t>global</w:t>
        </w:r>
        <w:r w:rsidRPr="000E65DF">
          <w:rPr>
            <w:rStyle w:val="Hyperlink"/>
          </w:rPr>
          <w:t>admission@sgu.edu</w:t>
        </w:r>
      </w:hyperlink>
      <w:r>
        <w:t xml:space="preserve">. </w:t>
      </w:r>
      <w:r w:rsidR="00E7663D">
        <w:t xml:space="preserve">It is important that all enquiries are sent only to this inbox and copying in other staff should be avoided to ensure a timely and clear response to queries.  </w:t>
      </w:r>
    </w:p>
    <w:p w14:paraId="6B08FC17" w14:textId="77777777" w:rsidR="00863A91" w:rsidRPr="00764D67" w:rsidRDefault="00863A91" w:rsidP="00BC4E41">
      <w:pPr>
        <w:spacing w:after="0"/>
        <w:rPr>
          <w:b/>
          <w:bCs/>
          <w:sz w:val="12"/>
          <w:szCs w:val="12"/>
        </w:rPr>
      </w:pPr>
    </w:p>
    <w:p w14:paraId="107470BD" w14:textId="60BC38E4" w:rsidR="00BC4E41" w:rsidRPr="00BC4E41" w:rsidRDefault="00BC4E41" w:rsidP="00BC4E41">
      <w:pPr>
        <w:spacing w:after="0"/>
        <w:rPr>
          <w:b/>
          <w:bCs/>
        </w:rPr>
      </w:pPr>
      <w:r w:rsidRPr="00BC4E41">
        <w:rPr>
          <w:b/>
          <w:bCs/>
        </w:rPr>
        <w:lastRenderedPageBreak/>
        <w:t>Visas and immigration</w:t>
      </w:r>
    </w:p>
    <w:p w14:paraId="5E15B875" w14:textId="77777777" w:rsidR="00BC4E41" w:rsidRPr="008C1F2D" w:rsidRDefault="00BC4E41" w:rsidP="00BC4E41">
      <w:pPr>
        <w:spacing w:after="0"/>
        <w:rPr>
          <w:b/>
          <w:bCs/>
        </w:rPr>
      </w:pPr>
      <w:r w:rsidRPr="00764D67">
        <w:rPr>
          <w:sz w:val="12"/>
          <w:szCs w:val="12"/>
        </w:rPr>
        <w:br/>
      </w:r>
      <w:r>
        <w:t xml:space="preserve">SGU students will be assigned to a Northumbria award during their time in Newcastle.  Each award is below degree level.  As per UKVI tier 4 student visa policy, </w:t>
      </w:r>
      <w:r w:rsidRPr="008C1F2D">
        <w:rPr>
          <w:b/>
          <w:bCs/>
        </w:rPr>
        <w:t>where a programme is below degree level a student can spend a maximum of 2 years in the UK</w:t>
      </w:r>
      <w:r>
        <w:t xml:space="preserve">.  </w:t>
      </w:r>
      <w:r w:rsidRPr="008C1F2D">
        <w:rPr>
          <w:b/>
          <w:bCs/>
        </w:rPr>
        <w:t xml:space="preserve">SGU students can therefore only study a maximum of 2 pathway stages in Newcastle before progressing to Grenada to complete their studies. </w:t>
      </w:r>
    </w:p>
    <w:p w14:paraId="02524A62" w14:textId="77777777" w:rsidR="00BC4E41" w:rsidRPr="00D11B33" w:rsidRDefault="00BC4E41" w:rsidP="00BC4E41">
      <w:pPr>
        <w:spacing w:after="0"/>
        <w:rPr>
          <w:sz w:val="10"/>
          <w:szCs w:val="10"/>
        </w:rPr>
      </w:pPr>
    </w:p>
    <w:p w14:paraId="629BDCDA" w14:textId="7425DDD2" w:rsidR="00BC4E41" w:rsidRDefault="00BC4E41" w:rsidP="001619B8">
      <w:pPr>
        <w:spacing w:after="0"/>
      </w:pPr>
      <w:r>
        <w:t xml:space="preserve">Where students join MD6 in Newcastle they will be apply for a visa covering the MD6 stage only. Upon successful completion of their first year of study, students will apply for a second visa to cover their MD5 studies in Newcastle. Where students join MD5 they can apply for a single </w:t>
      </w:r>
      <w:r w:rsidR="00D11B33">
        <w:t>2-year</w:t>
      </w:r>
      <w:r>
        <w:t xml:space="preserve"> visa covering MD5 and MD4. MD4 students can apply for a single </w:t>
      </w:r>
      <w:r w:rsidR="00236873">
        <w:t>1-year</w:t>
      </w:r>
      <w:r>
        <w:t xml:space="preserve"> visa covering only that stage of study.  </w:t>
      </w:r>
    </w:p>
    <w:p w14:paraId="73FF28EC" w14:textId="77777777" w:rsidR="002F308A" w:rsidRPr="007D65E3" w:rsidRDefault="002F308A" w:rsidP="001619B8">
      <w:pPr>
        <w:spacing w:after="0"/>
      </w:pPr>
    </w:p>
    <w:p w14:paraId="61197661" w14:textId="034266F1" w:rsidR="00BC4E41" w:rsidRDefault="002F308A" w:rsidP="00BC4E41">
      <w:pPr>
        <w:spacing w:after="0"/>
        <w:rPr>
          <w:b/>
          <w:bCs/>
        </w:rPr>
      </w:pPr>
      <w:r w:rsidRPr="00CA751C">
        <w:rPr>
          <w:b/>
          <w:bCs/>
        </w:rPr>
        <w:t>Clinical Rotations in the UK</w:t>
      </w:r>
    </w:p>
    <w:p w14:paraId="2573D4B0" w14:textId="77777777" w:rsidR="00CA751C" w:rsidRPr="00CA751C" w:rsidRDefault="00CA751C" w:rsidP="00BC4E41">
      <w:pPr>
        <w:spacing w:after="0"/>
        <w:rPr>
          <w:b/>
          <w:bCs/>
          <w:sz w:val="12"/>
          <w:szCs w:val="12"/>
        </w:rPr>
      </w:pPr>
    </w:p>
    <w:p w14:paraId="2D205601" w14:textId="10C794CC" w:rsidR="0097191A" w:rsidRDefault="0097191A" w:rsidP="00BC4E41">
      <w:pPr>
        <w:spacing w:after="0"/>
      </w:pPr>
      <w:r>
        <w:t xml:space="preserve">SGU students may wish to undertake clinical rotations in the UK.  Whilst this is possible, there are some visa time limit restrictions which must be considered.  When SGU students come to the UK for clinical rotations they will study under a tier 4 student visa. However, the visa sponsor will be the SGU UK entity rather than NU. </w:t>
      </w:r>
      <w:r w:rsidRPr="00D531E1">
        <w:rPr>
          <w:b/>
          <w:bCs/>
        </w:rPr>
        <w:t>The SGU UK entity sponsor licence has a limitation which states that students can only spend a maximum of 50% of their total programme duration outside the country where the sponsor institution (SGU) is based.</w:t>
      </w:r>
      <w:r>
        <w:t xml:space="preserve"> </w:t>
      </w:r>
      <w:r w:rsidR="0078034A">
        <w:t>This is known as the ‘50% Rule’.</w:t>
      </w:r>
      <w:r>
        <w:t xml:space="preserve"> The amount of time a student can spend on clinical rotation in the UK will therefore be determined by the total duration of their SGU programme and the amount of time they have already spent in the UK studying in Newcastle.  The table below outlines possible durations </w:t>
      </w:r>
    </w:p>
    <w:p w14:paraId="39655316" w14:textId="7F3138BF" w:rsidR="0097191A" w:rsidRPr="008E55E4" w:rsidRDefault="0097191A" w:rsidP="00BC4E41">
      <w:pPr>
        <w:spacing w:after="0"/>
        <w:rPr>
          <w:sz w:val="12"/>
          <w:szCs w:val="12"/>
        </w:rPr>
      </w:pPr>
    </w:p>
    <w:tbl>
      <w:tblPr>
        <w:tblStyle w:val="TableGrid"/>
        <w:tblW w:w="0" w:type="auto"/>
        <w:jc w:val="center"/>
        <w:tblLook w:val="04A0" w:firstRow="1" w:lastRow="0" w:firstColumn="1" w:lastColumn="0" w:noHBand="0" w:noVBand="1"/>
      </w:tblPr>
      <w:tblGrid>
        <w:gridCol w:w="1129"/>
        <w:gridCol w:w="2977"/>
        <w:gridCol w:w="3260"/>
        <w:gridCol w:w="3069"/>
      </w:tblGrid>
      <w:tr w:rsidR="0097191A" w14:paraId="31DF6B81" w14:textId="77777777" w:rsidTr="0078034A">
        <w:trPr>
          <w:jc w:val="center"/>
        </w:trPr>
        <w:tc>
          <w:tcPr>
            <w:tcW w:w="1129" w:type="dxa"/>
          </w:tcPr>
          <w:p w14:paraId="3FA3701E" w14:textId="3107D169" w:rsidR="0097191A" w:rsidRPr="008E55E4" w:rsidRDefault="0097191A" w:rsidP="00BC4E41">
            <w:pPr>
              <w:rPr>
                <w:b/>
                <w:bCs/>
              </w:rPr>
            </w:pPr>
            <w:r w:rsidRPr="008E55E4">
              <w:rPr>
                <w:b/>
                <w:bCs/>
              </w:rPr>
              <w:t>Stage</w:t>
            </w:r>
          </w:p>
        </w:tc>
        <w:tc>
          <w:tcPr>
            <w:tcW w:w="2977" w:type="dxa"/>
          </w:tcPr>
          <w:p w14:paraId="7C10FF85" w14:textId="192A8446" w:rsidR="0097191A" w:rsidRPr="008E55E4" w:rsidRDefault="0097191A" w:rsidP="00BC4E41">
            <w:pPr>
              <w:rPr>
                <w:b/>
                <w:bCs/>
              </w:rPr>
            </w:pPr>
            <w:r w:rsidRPr="008E55E4">
              <w:rPr>
                <w:b/>
                <w:bCs/>
              </w:rPr>
              <w:t>Total pathway duration</w:t>
            </w:r>
          </w:p>
        </w:tc>
        <w:tc>
          <w:tcPr>
            <w:tcW w:w="3260" w:type="dxa"/>
          </w:tcPr>
          <w:p w14:paraId="33277C3D" w14:textId="23B2C21B" w:rsidR="0097191A" w:rsidRPr="008E55E4" w:rsidRDefault="0097191A" w:rsidP="00BC4E41">
            <w:pPr>
              <w:rPr>
                <w:b/>
                <w:bCs/>
              </w:rPr>
            </w:pPr>
            <w:r w:rsidRPr="008E55E4">
              <w:rPr>
                <w:b/>
                <w:bCs/>
              </w:rPr>
              <w:t>Time in Newcastle</w:t>
            </w:r>
          </w:p>
        </w:tc>
        <w:tc>
          <w:tcPr>
            <w:tcW w:w="3069" w:type="dxa"/>
          </w:tcPr>
          <w:p w14:paraId="0CD611CC" w14:textId="2AA82DFF" w:rsidR="0097191A" w:rsidRPr="008E55E4" w:rsidRDefault="0097191A" w:rsidP="00BC4E41">
            <w:pPr>
              <w:rPr>
                <w:b/>
                <w:bCs/>
              </w:rPr>
            </w:pPr>
            <w:r w:rsidRPr="008E55E4">
              <w:rPr>
                <w:b/>
                <w:bCs/>
              </w:rPr>
              <w:t>UK clinical rotation time limit</w:t>
            </w:r>
          </w:p>
        </w:tc>
      </w:tr>
      <w:tr w:rsidR="0097191A" w14:paraId="78D46965" w14:textId="77777777" w:rsidTr="0078034A">
        <w:trPr>
          <w:jc w:val="center"/>
        </w:trPr>
        <w:tc>
          <w:tcPr>
            <w:tcW w:w="1129" w:type="dxa"/>
          </w:tcPr>
          <w:p w14:paraId="632C02B0" w14:textId="5F421D22" w:rsidR="0097191A" w:rsidRDefault="0097191A" w:rsidP="00BC4E41">
            <w:r>
              <w:t>MD4</w:t>
            </w:r>
          </w:p>
        </w:tc>
        <w:tc>
          <w:tcPr>
            <w:tcW w:w="2977" w:type="dxa"/>
          </w:tcPr>
          <w:p w14:paraId="2A6FF713" w14:textId="6475170F" w:rsidR="0097191A" w:rsidRDefault="0097191A" w:rsidP="00BC4E41">
            <w:r>
              <w:t>4 years</w:t>
            </w:r>
          </w:p>
        </w:tc>
        <w:tc>
          <w:tcPr>
            <w:tcW w:w="3260" w:type="dxa"/>
          </w:tcPr>
          <w:p w14:paraId="24666547" w14:textId="3D897291" w:rsidR="0097191A" w:rsidRDefault="0097191A" w:rsidP="00BC4E41">
            <w:r>
              <w:t>1 year</w:t>
            </w:r>
          </w:p>
        </w:tc>
        <w:tc>
          <w:tcPr>
            <w:tcW w:w="3069" w:type="dxa"/>
          </w:tcPr>
          <w:p w14:paraId="07481250" w14:textId="5B7C310D" w:rsidR="0097191A" w:rsidRDefault="0097191A" w:rsidP="00BC4E41">
            <w:r>
              <w:t>1 year</w:t>
            </w:r>
          </w:p>
        </w:tc>
      </w:tr>
      <w:tr w:rsidR="0097191A" w14:paraId="4AEE3061" w14:textId="77777777" w:rsidTr="0078034A">
        <w:trPr>
          <w:jc w:val="center"/>
        </w:trPr>
        <w:tc>
          <w:tcPr>
            <w:tcW w:w="1129" w:type="dxa"/>
          </w:tcPr>
          <w:p w14:paraId="224EFD36" w14:textId="7538584E" w:rsidR="0097191A" w:rsidRDefault="0097191A" w:rsidP="00BC4E41">
            <w:r>
              <w:t>MD5</w:t>
            </w:r>
          </w:p>
        </w:tc>
        <w:tc>
          <w:tcPr>
            <w:tcW w:w="2977" w:type="dxa"/>
          </w:tcPr>
          <w:p w14:paraId="4B54CD7E" w14:textId="304AC23B" w:rsidR="0097191A" w:rsidRDefault="0097191A" w:rsidP="00BC4E41">
            <w:r>
              <w:t>5 years</w:t>
            </w:r>
          </w:p>
        </w:tc>
        <w:tc>
          <w:tcPr>
            <w:tcW w:w="3260" w:type="dxa"/>
          </w:tcPr>
          <w:p w14:paraId="0F5C428D" w14:textId="708E6319" w:rsidR="0097191A" w:rsidRDefault="0097191A" w:rsidP="00BC4E41">
            <w:r>
              <w:t>2 years</w:t>
            </w:r>
          </w:p>
        </w:tc>
        <w:tc>
          <w:tcPr>
            <w:tcW w:w="3069" w:type="dxa"/>
          </w:tcPr>
          <w:p w14:paraId="6171E4A7" w14:textId="6207E42E" w:rsidR="0097191A" w:rsidRDefault="0097191A" w:rsidP="00BC4E41">
            <w:r>
              <w:t>6 months</w:t>
            </w:r>
          </w:p>
        </w:tc>
      </w:tr>
      <w:tr w:rsidR="0097191A" w14:paraId="02721B29" w14:textId="77777777" w:rsidTr="0078034A">
        <w:trPr>
          <w:jc w:val="center"/>
        </w:trPr>
        <w:tc>
          <w:tcPr>
            <w:tcW w:w="1129" w:type="dxa"/>
          </w:tcPr>
          <w:p w14:paraId="4BA8CCEB" w14:textId="37FCA162" w:rsidR="0097191A" w:rsidRDefault="0097191A" w:rsidP="00BC4E41">
            <w:r>
              <w:t>MD6</w:t>
            </w:r>
          </w:p>
        </w:tc>
        <w:tc>
          <w:tcPr>
            <w:tcW w:w="2977" w:type="dxa"/>
          </w:tcPr>
          <w:p w14:paraId="25CA3B4C" w14:textId="3A497B52" w:rsidR="0097191A" w:rsidRDefault="0097191A" w:rsidP="00BC4E41">
            <w:r>
              <w:t>6 years</w:t>
            </w:r>
          </w:p>
        </w:tc>
        <w:tc>
          <w:tcPr>
            <w:tcW w:w="3260" w:type="dxa"/>
          </w:tcPr>
          <w:p w14:paraId="5A51A9F9" w14:textId="6C09B412" w:rsidR="0097191A" w:rsidRDefault="0097191A" w:rsidP="00BC4E41">
            <w:r>
              <w:t>2 years</w:t>
            </w:r>
          </w:p>
        </w:tc>
        <w:tc>
          <w:tcPr>
            <w:tcW w:w="3069" w:type="dxa"/>
          </w:tcPr>
          <w:p w14:paraId="09F2ADB8" w14:textId="53AC4EEC" w:rsidR="0097191A" w:rsidRDefault="0097191A" w:rsidP="00BC4E41">
            <w:r>
              <w:t>1 year</w:t>
            </w:r>
          </w:p>
        </w:tc>
      </w:tr>
    </w:tbl>
    <w:p w14:paraId="08028476" w14:textId="43333883" w:rsidR="00B04B57" w:rsidRDefault="00CA5D84" w:rsidP="001619B8">
      <w:pPr>
        <w:spacing w:after="0"/>
        <w:rPr>
          <w:b/>
          <w:bCs/>
        </w:rPr>
      </w:pPr>
      <w:r w:rsidRPr="006C0082">
        <w:br/>
      </w:r>
      <w:r w:rsidR="00BC4E41" w:rsidRPr="00BC4E41">
        <w:rPr>
          <w:b/>
          <w:bCs/>
        </w:rPr>
        <w:t>Progression</w:t>
      </w:r>
      <w:r w:rsidR="009871FB">
        <w:rPr>
          <w:b/>
          <w:bCs/>
        </w:rPr>
        <w:t xml:space="preserve"> Requirements</w:t>
      </w:r>
    </w:p>
    <w:p w14:paraId="1F0BC126" w14:textId="77777777" w:rsidR="009871FB" w:rsidRPr="009871FB" w:rsidRDefault="009871FB" w:rsidP="001619B8">
      <w:pPr>
        <w:spacing w:after="0"/>
        <w:rPr>
          <w:b/>
          <w:bCs/>
          <w:sz w:val="12"/>
          <w:szCs w:val="12"/>
        </w:rPr>
      </w:pPr>
    </w:p>
    <w:tbl>
      <w:tblPr>
        <w:tblStyle w:val="TableGrid"/>
        <w:tblW w:w="0" w:type="auto"/>
        <w:tblLook w:val="04A0" w:firstRow="1" w:lastRow="0" w:firstColumn="1" w:lastColumn="0" w:noHBand="0" w:noVBand="1"/>
      </w:tblPr>
      <w:tblGrid>
        <w:gridCol w:w="2399"/>
        <w:gridCol w:w="8527"/>
      </w:tblGrid>
      <w:tr w:rsidR="00BC4E41" w:rsidRPr="002F5EAF" w14:paraId="09F45303" w14:textId="77777777" w:rsidTr="002F5EAF">
        <w:trPr>
          <w:trHeight w:val="150"/>
        </w:trPr>
        <w:tc>
          <w:tcPr>
            <w:tcW w:w="2399" w:type="dxa"/>
          </w:tcPr>
          <w:p w14:paraId="35496BAB" w14:textId="6120BA7C" w:rsidR="00BC4E41" w:rsidRPr="002F5EAF" w:rsidRDefault="00653717" w:rsidP="001619B8">
            <w:pPr>
              <w:rPr>
                <w:b/>
                <w:bCs/>
                <w:sz w:val="20"/>
                <w:szCs w:val="20"/>
              </w:rPr>
            </w:pPr>
            <w:r w:rsidRPr="002F5EAF">
              <w:rPr>
                <w:b/>
                <w:bCs/>
                <w:sz w:val="20"/>
                <w:szCs w:val="20"/>
              </w:rPr>
              <w:t>Progression</w:t>
            </w:r>
          </w:p>
        </w:tc>
        <w:tc>
          <w:tcPr>
            <w:tcW w:w="8527" w:type="dxa"/>
          </w:tcPr>
          <w:p w14:paraId="5CB43F7C" w14:textId="0FB06BAF" w:rsidR="00BC4E41" w:rsidRPr="002F5EAF" w:rsidRDefault="00BC4E41" w:rsidP="001619B8">
            <w:pPr>
              <w:rPr>
                <w:b/>
                <w:bCs/>
                <w:sz w:val="20"/>
                <w:szCs w:val="20"/>
              </w:rPr>
            </w:pPr>
            <w:r w:rsidRPr="002F5EAF">
              <w:rPr>
                <w:b/>
                <w:bCs/>
                <w:sz w:val="20"/>
                <w:szCs w:val="20"/>
              </w:rPr>
              <w:t>Progression requirements</w:t>
            </w:r>
          </w:p>
        </w:tc>
      </w:tr>
      <w:tr w:rsidR="00BC4E41" w:rsidRPr="002F5EAF" w14:paraId="3B7DE013" w14:textId="77777777" w:rsidTr="002F5EAF">
        <w:trPr>
          <w:trHeight w:val="150"/>
        </w:trPr>
        <w:tc>
          <w:tcPr>
            <w:tcW w:w="2399" w:type="dxa"/>
          </w:tcPr>
          <w:p w14:paraId="7D216132" w14:textId="301E04BD" w:rsidR="00BC4E41" w:rsidRPr="002F5EAF" w:rsidRDefault="00BC4E41" w:rsidP="001619B8">
            <w:pPr>
              <w:rPr>
                <w:sz w:val="20"/>
                <w:szCs w:val="20"/>
              </w:rPr>
            </w:pPr>
            <w:r w:rsidRPr="002F5EAF">
              <w:rPr>
                <w:sz w:val="20"/>
                <w:szCs w:val="20"/>
              </w:rPr>
              <w:t>MD6</w:t>
            </w:r>
            <w:r w:rsidR="00653717" w:rsidRPr="002F5EAF">
              <w:rPr>
                <w:sz w:val="20"/>
                <w:szCs w:val="20"/>
              </w:rPr>
              <w:t xml:space="preserve"> </w:t>
            </w:r>
            <w:r w:rsidR="009871FB" w:rsidRPr="002F5EAF">
              <w:rPr>
                <w:sz w:val="20"/>
                <w:szCs w:val="20"/>
              </w:rPr>
              <w:sym w:font="Wingdings" w:char="F0E0"/>
            </w:r>
            <w:r w:rsidR="00653717" w:rsidRPr="002F5EAF">
              <w:rPr>
                <w:sz w:val="20"/>
                <w:szCs w:val="20"/>
              </w:rPr>
              <w:t xml:space="preserve"> MD5</w:t>
            </w:r>
          </w:p>
        </w:tc>
        <w:tc>
          <w:tcPr>
            <w:tcW w:w="8527" w:type="dxa"/>
          </w:tcPr>
          <w:p w14:paraId="049AA378" w14:textId="74A521DB" w:rsidR="00BC4E41" w:rsidRPr="002F5EAF" w:rsidRDefault="009750EA" w:rsidP="001619B8">
            <w:pPr>
              <w:rPr>
                <w:sz w:val="20"/>
                <w:szCs w:val="20"/>
              </w:rPr>
            </w:pPr>
            <w:r w:rsidRPr="002F5EAF">
              <w:rPr>
                <w:sz w:val="20"/>
                <w:szCs w:val="20"/>
              </w:rPr>
              <w:t>Students must achieve a level average of 70% or above.</w:t>
            </w:r>
          </w:p>
        </w:tc>
      </w:tr>
      <w:tr w:rsidR="00BC4E41" w:rsidRPr="002F5EAF" w14:paraId="4C5DB9BB" w14:textId="77777777" w:rsidTr="002F5EAF">
        <w:trPr>
          <w:trHeight w:val="445"/>
        </w:trPr>
        <w:tc>
          <w:tcPr>
            <w:tcW w:w="2399" w:type="dxa"/>
          </w:tcPr>
          <w:p w14:paraId="670A1C8E" w14:textId="4AE0521B" w:rsidR="00BC4E41" w:rsidRPr="002F5EAF" w:rsidRDefault="00BC4E41" w:rsidP="00E01300">
            <w:pPr>
              <w:rPr>
                <w:sz w:val="20"/>
                <w:szCs w:val="20"/>
              </w:rPr>
            </w:pPr>
            <w:r w:rsidRPr="002F5EAF">
              <w:rPr>
                <w:sz w:val="20"/>
                <w:szCs w:val="20"/>
              </w:rPr>
              <w:t>MD5</w:t>
            </w:r>
            <w:r w:rsidR="00653717" w:rsidRPr="002F5EAF">
              <w:rPr>
                <w:sz w:val="20"/>
                <w:szCs w:val="20"/>
              </w:rPr>
              <w:t xml:space="preserve"> </w:t>
            </w:r>
            <w:r w:rsidR="009871FB" w:rsidRPr="002F5EAF">
              <w:rPr>
                <w:sz w:val="20"/>
                <w:szCs w:val="20"/>
              </w:rPr>
              <w:sym w:font="Wingdings" w:char="F0E0"/>
            </w:r>
            <w:r w:rsidR="00653717" w:rsidRPr="002F5EAF">
              <w:rPr>
                <w:sz w:val="20"/>
                <w:szCs w:val="20"/>
              </w:rPr>
              <w:t xml:space="preserve"> MD4</w:t>
            </w:r>
          </w:p>
        </w:tc>
        <w:tc>
          <w:tcPr>
            <w:tcW w:w="8527" w:type="dxa"/>
          </w:tcPr>
          <w:p w14:paraId="09F663C2" w14:textId="4B787DD8" w:rsidR="00E01300" w:rsidRPr="002F5EAF" w:rsidRDefault="009750EA" w:rsidP="009750EA">
            <w:pPr>
              <w:rPr>
                <w:sz w:val="20"/>
                <w:szCs w:val="20"/>
              </w:rPr>
            </w:pPr>
            <w:r w:rsidRPr="002F5EAF">
              <w:rPr>
                <w:sz w:val="20"/>
                <w:szCs w:val="20"/>
              </w:rPr>
              <w:t>Students must achieve a WMPG of 80% and a Science GPA of 2.75, achieve a minimum of 70% on the Preclinical Science Comprehensive exam and maintain professionalism standards (P64 – SGU Student manual).</w:t>
            </w:r>
          </w:p>
        </w:tc>
      </w:tr>
      <w:tr w:rsidR="00BC4E41" w:rsidRPr="002F5EAF" w14:paraId="24AF5308" w14:textId="77777777" w:rsidTr="002F5EAF">
        <w:trPr>
          <w:trHeight w:val="601"/>
        </w:trPr>
        <w:tc>
          <w:tcPr>
            <w:tcW w:w="2399" w:type="dxa"/>
          </w:tcPr>
          <w:p w14:paraId="116C85A9" w14:textId="42244780" w:rsidR="00653717" w:rsidRPr="002F5EAF" w:rsidRDefault="00BC4E41" w:rsidP="001619B8">
            <w:pPr>
              <w:rPr>
                <w:sz w:val="20"/>
                <w:szCs w:val="20"/>
              </w:rPr>
            </w:pPr>
            <w:r w:rsidRPr="002F5EAF">
              <w:rPr>
                <w:sz w:val="20"/>
                <w:szCs w:val="20"/>
              </w:rPr>
              <w:t>MD4</w:t>
            </w:r>
            <w:r w:rsidR="00653717" w:rsidRPr="002F5EAF">
              <w:rPr>
                <w:sz w:val="20"/>
                <w:szCs w:val="20"/>
              </w:rPr>
              <w:t xml:space="preserve"> UK</w:t>
            </w:r>
            <w:r w:rsidR="00A11EE8" w:rsidRPr="002F5EAF">
              <w:rPr>
                <w:sz w:val="20"/>
                <w:szCs w:val="20"/>
              </w:rPr>
              <w:t xml:space="preserve"> </w:t>
            </w:r>
            <w:r w:rsidR="00A11EE8" w:rsidRPr="002F5EAF">
              <w:rPr>
                <w:sz w:val="20"/>
                <w:szCs w:val="20"/>
              </w:rPr>
              <w:sym w:font="Wingdings" w:char="F0E0"/>
            </w:r>
            <w:r w:rsidR="00A11EE8" w:rsidRPr="002F5EAF">
              <w:rPr>
                <w:sz w:val="20"/>
                <w:szCs w:val="20"/>
              </w:rPr>
              <w:t xml:space="preserve"> </w:t>
            </w:r>
            <w:r w:rsidR="00653717" w:rsidRPr="002F5EAF">
              <w:rPr>
                <w:sz w:val="20"/>
                <w:szCs w:val="20"/>
              </w:rPr>
              <w:t>Grenada (Basic Sciences Y2)</w:t>
            </w:r>
          </w:p>
        </w:tc>
        <w:tc>
          <w:tcPr>
            <w:tcW w:w="8527" w:type="dxa"/>
          </w:tcPr>
          <w:p w14:paraId="5C3EC416" w14:textId="77777777" w:rsidR="009750EA" w:rsidRPr="002F5EAF" w:rsidRDefault="009750EA" w:rsidP="009750EA">
            <w:pPr>
              <w:rPr>
                <w:sz w:val="20"/>
                <w:szCs w:val="20"/>
              </w:rPr>
            </w:pPr>
            <w:r w:rsidRPr="002F5EAF">
              <w:rPr>
                <w:sz w:val="20"/>
                <w:szCs w:val="20"/>
              </w:rPr>
              <w:t>Students must achieve a minimum of 525 points out of 755 (69.5%) to progress from BPM 1 to BPM 2.</w:t>
            </w:r>
          </w:p>
          <w:p w14:paraId="0B505A92" w14:textId="6EF56DAF" w:rsidR="00BC4E41" w:rsidRPr="002F5EAF" w:rsidRDefault="009750EA" w:rsidP="009750EA">
            <w:pPr>
              <w:rPr>
                <w:sz w:val="20"/>
                <w:szCs w:val="20"/>
              </w:rPr>
            </w:pPr>
            <w:r w:rsidRPr="002F5EAF">
              <w:rPr>
                <w:sz w:val="20"/>
                <w:szCs w:val="20"/>
              </w:rPr>
              <w:t>Students must achieve a minimum of 660 points out of 922 (71.5%) to progress from BPM 2 to Basic Sciences Y2 in Grenada.</w:t>
            </w:r>
          </w:p>
        </w:tc>
      </w:tr>
    </w:tbl>
    <w:p w14:paraId="5A70A0E8" w14:textId="4EC2B398" w:rsidR="00BC4E41" w:rsidRPr="006C0082" w:rsidRDefault="00BC4E41" w:rsidP="001619B8">
      <w:pPr>
        <w:spacing w:after="0"/>
      </w:pPr>
      <w:r w:rsidRPr="00A11EE8">
        <w:rPr>
          <w:sz w:val="12"/>
          <w:szCs w:val="12"/>
        </w:rPr>
        <w:t xml:space="preserve"> </w:t>
      </w:r>
    </w:p>
    <w:p w14:paraId="1CA90198" w14:textId="16E66623" w:rsidR="00E7663D" w:rsidRDefault="00E7663D" w:rsidP="00AB1D7E">
      <w:pPr>
        <w:spacing w:after="0"/>
        <w:rPr>
          <w:b/>
          <w:bCs/>
        </w:rPr>
      </w:pPr>
      <w:r w:rsidRPr="00E7663D">
        <w:rPr>
          <w:b/>
          <w:bCs/>
        </w:rPr>
        <w:t>Scholarships, bursaries and discounts</w:t>
      </w:r>
    </w:p>
    <w:p w14:paraId="1FE91B2B" w14:textId="77777777" w:rsidR="002F5EAF" w:rsidRPr="002F5EAF" w:rsidRDefault="002F5EAF" w:rsidP="00AB1D7E">
      <w:pPr>
        <w:spacing w:after="0"/>
        <w:rPr>
          <w:b/>
          <w:bCs/>
          <w:sz w:val="12"/>
          <w:szCs w:val="12"/>
        </w:rPr>
      </w:pPr>
    </w:p>
    <w:p w14:paraId="4F6EE552" w14:textId="77777777" w:rsidR="006C0082" w:rsidRDefault="00E7663D" w:rsidP="00AB1D7E">
      <w:pPr>
        <w:spacing w:after="0"/>
        <w:rPr>
          <w:bCs/>
        </w:rPr>
      </w:pPr>
      <w:r w:rsidRPr="000E65DF">
        <w:rPr>
          <w:bCs/>
        </w:rPr>
        <w:t>M</w:t>
      </w:r>
      <w:r w:rsidR="002F5EAF">
        <w:rPr>
          <w:bCs/>
        </w:rPr>
        <w:t>any</w:t>
      </w:r>
      <w:r w:rsidRPr="000E65DF">
        <w:rPr>
          <w:bCs/>
        </w:rPr>
        <w:t xml:space="preserve"> students will benefit from a scholarship during their studies on SGU programmes in Newcastle. Scholarships are allocated on an individual basis to students by SGU during the admissions process. Students will be issue</w:t>
      </w:r>
      <w:r w:rsidR="002F5EAF">
        <w:rPr>
          <w:bCs/>
        </w:rPr>
        <w:t>d</w:t>
      </w:r>
      <w:r w:rsidRPr="000E65DF">
        <w:rPr>
          <w:bCs/>
        </w:rPr>
        <w:t xml:space="preserve"> with a bursary</w:t>
      </w:r>
      <w:r w:rsidR="00423316">
        <w:rPr>
          <w:bCs/>
        </w:rPr>
        <w:t>/scholarship</w:t>
      </w:r>
      <w:r w:rsidRPr="000E65DF">
        <w:rPr>
          <w:bCs/>
        </w:rPr>
        <w:t xml:space="preserve"> letter outlining the total value of their award across their entire programme of study. </w:t>
      </w:r>
    </w:p>
    <w:p w14:paraId="46311AF2" w14:textId="77777777" w:rsidR="006C0082" w:rsidRDefault="006C0082" w:rsidP="00AB1D7E">
      <w:pPr>
        <w:spacing w:after="0"/>
        <w:rPr>
          <w:bCs/>
        </w:rPr>
      </w:pPr>
    </w:p>
    <w:p w14:paraId="427D0F8E" w14:textId="6C6051DA" w:rsidR="003A183C" w:rsidRDefault="00423316" w:rsidP="00AB1D7E">
      <w:pPr>
        <w:spacing w:after="0"/>
        <w:rPr>
          <w:bCs/>
        </w:rPr>
      </w:pPr>
      <w:bookmarkStart w:id="0" w:name="_GoBack"/>
      <w:bookmarkEnd w:id="0"/>
      <w:r>
        <w:rPr>
          <w:bCs/>
        </w:rPr>
        <w:t>As stated above,</w:t>
      </w:r>
      <w:r w:rsidR="00E7663D" w:rsidRPr="000E65DF">
        <w:rPr>
          <w:bCs/>
        </w:rPr>
        <w:t xml:space="preserve"> no scholarships are available for the Newcastle MD6 </w:t>
      </w:r>
      <w:r w:rsidR="00BB4626">
        <w:rPr>
          <w:bCs/>
        </w:rPr>
        <w:t xml:space="preserve">stage </w:t>
      </w:r>
      <w:r w:rsidR="00E7663D" w:rsidRPr="000E65DF">
        <w:rPr>
          <w:bCs/>
        </w:rPr>
        <w:t xml:space="preserve">as the programme fee is already significantly lower than the comparable stage in Grenada. </w:t>
      </w:r>
      <w:r w:rsidR="00174273" w:rsidRPr="000E65DF">
        <w:rPr>
          <w:bCs/>
        </w:rPr>
        <w:t xml:space="preserve">Students who join MD6 can still benefit from bursary discounts on their later years of study.  </w:t>
      </w:r>
      <w:r w:rsidR="00E7663D" w:rsidRPr="000E65DF">
        <w:rPr>
          <w:bCs/>
        </w:rPr>
        <w:t>The maximum scholarship value that can be allocated to students on the Newcastle MD5 is £6</w:t>
      </w:r>
      <w:r w:rsidR="00BB4626">
        <w:rPr>
          <w:bCs/>
        </w:rPr>
        <w:t>,</w:t>
      </w:r>
      <w:r w:rsidR="00E7663D" w:rsidRPr="000E65DF">
        <w:rPr>
          <w:bCs/>
        </w:rPr>
        <w:t xml:space="preserve">307. </w:t>
      </w:r>
    </w:p>
    <w:p w14:paraId="6B39D7F1" w14:textId="4C06F8A1" w:rsidR="00E7663D" w:rsidRPr="000E65DF" w:rsidRDefault="00E7663D" w:rsidP="00AB1D7E">
      <w:pPr>
        <w:spacing w:after="0"/>
        <w:rPr>
          <w:bCs/>
        </w:rPr>
      </w:pPr>
      <w:r w:rsidRPr="000E65DF">
        <w:rPr>
          <w:bCs/>
        </w:rPr>
        <w:t xml:space="preserve"> </w:t>
      </w:r>
    </w:p>
    <w:p w14:paraId="529DA504" w14:textId="77777777" w:rsidR="00503285" w:rsidRDefault="00503285">
      <w:pPr>
        <w:rPr>
          <w:b/>
          <w:bCs/>
        </w:rPr>
      </w:pPr>
      <w:r>
        <w:rPr>
          <w:b/>
          <w:bCs/>
        </w:rPr>
        <w:br w:type="page"/>
      </w:r>
    </w:p>
    <w:p w14:paraId="33C59C94" w14:textId="5A9649E4" w:rsidR="00AB1D7E" w:rsidRPr="00A53015" w:rsidRDefault="00BB4626" w:rsidP="00AB1D7E">
      <w:pPr>
        <w:spacing w:after="0"/>
        <w:rPr>
          <w:b/>
          <w:bCs/>
        </w:rPr>
      </w:pPr>
      <w:r>
        <w:rPr>
          <w:b/>
          <w:bCs/>
        </w:rPr>
        <w:lastRenderedPageBreak/>
        <w:t>Frequently Asked Questions (FAQs)</w:t>
      </w:r>
    </w:p>
    <w:p w14:paraId="3F14ABF6" w14:textId="77777777" w:rsidR="00AB1D7E" w:rsidRPr="00E72D42" w:rsidRDefault="00AB1D7E" w:rsidP="00AB1D7E">
      <w:pPr>
        <w:spacing w:after="0"/>
        <w:rPr>
          <w:sz w:val="20"/>
          <w:szCs w:val="20"/>
        </w:rPr>
      </w:pPr>
    </w:p>
    <w:p w14:paraId="1715E02D" w14:textId="77777777" w:rsidR="00AB1D7E" w:rsidRPr="003463E7" w:rsidRDefault="00AB1D7E" w:rsidP="00AB1D7E">
      <w:pPr>
        <w:spacing w:after="0"/>
        <w:rPr>
          <w:b/>
          <w:bCs/>
        </w:rPr>
      </w:pPr>
      <w:r w:rsidRPr="003463E7">
        <w:rPr>
          <w:b/>
          <w:bCs/>
        </w:rPr>
        <w:t>How long can a student study with SGU in Newcastle?</w:t>
      </w:r>
    </w:p>
    <w:p w14:paraId="3D45CFBA" w14:textId="7535EAC2" w:rsidR="00AB1D7E" w:rsidRDefault="00AB1D7E" w:rsidP="00AB1D7E">
      <w:pPr>
        <w:spacing w:after="0"/>
      </w:pPr>
      <w:r>
        <w:t>Current UKVI tier 4 visa policy limits study duration for qualifications below degree level to 2 years. The NU awards associated with the SGU pathway are all below degree level and so study is limited to a total of 2 years.</w:t>
      </w:r>
    </w:p>
    <w:p w14:paraId="3A3EE0F2" w14:textId="3947E716" w:rsidR="00AB1D7E" w:rsidRPr="000E65DF" w:rsidRDefault="00C01CA1" w:rsidP="00AB1D7E">
      <w:pPr>
        <w:spacing w:after="0"/>
        <w:rPr>
          <w:b/>
          <w:bCs/>
        </w:rPr>
      </w:pPr>
      <w:r w:rsidRPr="00E72D42">
        <w:rPr>
          <w:sz w:val="20"/>
          <w:szCs w:val="20"/>
        </w:rPr>
        <w:br/>
      </w:r>
      <w:r w:rsidR="0097191A" w:rsidRPr="000E65DF">
        <w:rPr>
          <w:b/>
          <w:bCs/>
        </w:rPr>
        <w:t>Can students do their clinical rotations in Newcastle?</w:t>
      </w:r>
    </w:p>
    <w:p w14:paraId="5D39C381" w14:textId="3247C848" w:rsidR="0097191A" w:rsidRPr="00F32A74" w:rsidRDefault="0097191A" w:rsidP="00AB1D7E">
      <w:pPr>
        <w:spacing w:after="0"/>
        <w:rPr>
          <w:b/>
          <w:bCs/>
        </w:rPr>
      </w:pPr>
      <w:r w:rsidRPr="000E65DF">
        <w:t xml:space="preserve">Yes, it is possible for students to do up to 1 year of their clinical rotations in the UK. The amount of time they can spend on clinical rotations is based on the length of their award and the amount of time they have already spent studying SGU programmes in the UK. MD4 and MD6 students can spend 1 year on rotations and MD5 students can spend 6 months. </w:t>
      </w:r>
      <w:r w:rsidRPr="00F32A74">
        <w:rPr>
          <w:b/>
          <w:bCs/>
        </w:rPr>
        <w:t xml:space="preserve">It is not possible for students to complete all clinical rotations in the UK due to visa time limits.  </w:t>
      </w:r>
    </w:p>
    <w:p w14:paraId="31315E14" w14:textId="77777777" w:rsidR="00C01CA1" w:rsidRPr="00E72D42" w:rsidRDefault="00C01CA1" w:rsidP="00AB1D7E">
      <w:pPr>
        <w:spacing w:after="0"/>
        <w:rPr>
          <w:sz w:val="20"/>
          <w:szCs w:val="20"/>
        </w:rPr>
      </w:pPr>
    </w:p>
    <w:p w14:paraId="19487D9B" w14:textId="77777777" w:rsidR="00AB1D7E" w:rsidRPr="003463E7" w:rsidRDefault="00AB1D7E" w:rsidP="00AB1D7E">
      <w:pPr>
        <w:spacing w:after="0"/>
        <w:rPr>
          <w:b/>
          <w:bCs/>
        </w:rPr>
      </w:pPr>
      <w:r w:rsidRPr="003463E7">
        <w:rPr>
          <w:b/>
          <w:bCs/>
        </w:rPr>
        <w:t>Can students from UK Foundation programmes join SGU programmes?</w:t>
      </w:r>
    </w:p>
    <w:p w14:paraId="0D07670C" w14:textId="29EC4EDF" w:rsidR="00AB1D7E" w:rsidRDefault="00AB1D7E" w:rsidP="00AB1D7E">
      <w:pPr>
        <w:spacing w:after="0"/>
      </w:pPr>
      <w:r>
        <w:t xml:space="preserve">A student on a UK Foundation programme could progress to MD5 assuming the Foundation programme has a sufficient level of science and students are able to demonstrate academic progression (i.e. their Foundation programme is at a lower academic level than the SGU programme they want to study). However, their time spent on the Foundation will count towards their overall visa time limit. Students would normally only be able to study one pathway stage (e.g. MD5) in Newcastle before continuing their studies in Grenada.  </w:t>
      </w:r>
    </w:p>
    <w:p w14:paraId="7008F2A0" w14:textId="0FE6FFC0" w:rsidR="00AB1D7E" w:rsidRPr="00E72D42" w:rsidRDefault="00AB1D7E" w:rsidP="00AB1D7E">
      <w:pPr>
        <w:spacing w:after="0"/>
        <w:rPr>
          <w:sz w:val="20"/>
          <w:szCs w:val="20"/>
        </w:rPr>
      </w:pPr>
    </w:p>
    <w:p w14:paraId="2250D7F7" w14:textId="77777777" w:rsidR="00AB1D7E" w:rsidRPr="003463E7" w:rsidRDefault="00AB1D7E" w:rsidP="00AB1D7E">
      <w:pPr>
        <w:spacing w:after="0"/>
        <w:rPr>
          <w:b/>
          <w:bCs/>
        </w:rPr>
      </w:pPr>
      <w:r w:rsidRPr="003463E7">
        <w:rPr>
          <w:b/>
          <w:bCs/>
        </w:rPr>
        <w:t>Can students reduce the costs of study with scholarships?</w:t>
      </w:r>
    </w:p>
    <w:p w14:paraId="1279F1AE" w14:textId="7BA735D2" w:rsidR="00AB1D7E" w:rsidRDefault="00AB1D7E" w:rsidP="00AB1D7E">
      <w:pPr>
        <w:spacing w:after="0"/>
      </w:pPr>
      <w:r>
        <w:t xml:space="preserve">Yes, a large proportion of students will be awarded a scholarship for study with SGU. However, scholarship values vary and are allocated on an individual basis by SGU. No scholarships are available for MD6. This is a Northumbria award and so students will pay the standard international fee of £15,500 with no scholarships. </w:t>
      </w:r>
      <w:r w:rsidR="00174273">
        <w:t xml:space="preserve">The maximum bursary value for the Newcastle MD5 is £6307 although students may benefit from larger fee discounts in their later years of study.  </w:t>
      </w:r>
    </w:p>
    <w:p w14:paraId="6B39569B" w14:textId="77777777" w:rsidR="00AB1D7E" w:rsidRPr="00E72D42" w:rsidRDefault="00AB1D7E" w:rsidP="00AB1D7E">
      <w:pPr>
        <w:spacing w:after="0"/>
        <w:rPr>
          <w:sz w:val="20"/>
          <w:szCs w:val="20"/>
        </w:rPr>
      </w:pPr>
    </w:p>
    <w:p w14:paraId="11BC7392" w14:textId="77777777" w:rsidR="00AB1D7E" w:rsidRPr="00A53015" w:rsidRDefault="00AB1D7E" w:rsidP="00AB1D7E">
      <w:pPr>
        <w:spacing w:after="0"/>
        <w:rPr>
          <w:b/>
          <w:bCs/>
        </w:rPr>
      </w:pPr>
      <w:r w:rsidRPr="00A53015">
        <w:rPr>
          <w:b/>
          <w:bCs/>
        </w:rPr>
        <w:t xml:space="preserve">Can </w:t>
      </w:r>
      <w:proofErr w:type="gramStart"/>
      <w:r w:rsidRPr="00A53015">
        <w:rPr>
          <w:b/>
          <w:bCs/>
        </w:rPr>
        <w:t>students</w:t>
      </w:r>
      <w:proofErr w:type="gramEnd"/>
      <w:r w:rsidRPr="00A53015">
        <w:rPr>
          <w:b/>
          <w:bCs/>
        </w:rPr>
        <w:t xml:space="preserve"> study with SGU in Newcastle for 1 year and then continue their studies in Grenada?</w:t>
      </w:r>
    </w:p>
    <w:p w14:paraId="05AA53E0" w14:textId="57519A3D" w:rsidR="00AB1D7E" w:rsidRDefault="00AB1D7E" w:rsidP="00AB1D7E">
      <w:pPr>
        <w:spacing w:after="0"/>
      </w:pPr>
      <w:r>
        <w:t>Yes. For students on MD4 this is the typical pattern of study. However, a student joining MD6 or MD5 could also opt to study in Newcastle for 1 year and then progress to Grenada rather than spending the maximum 2 years in Newcastle. Where students join MD5 it would be beneficial to understand whether this is their preferred option</w:t>
      </w:r>
      <w:r w:rsidR="00F4704B">
        <w:t xml:space="preserve"> </w:t>
      </w:r>
      <w:r w:rsidR="00F4704B" w:rsidRPr="00F4704B">
        <w:rPr>
          <w:b/>
          <w:bCs/>
          <w:i/>
          <w:iCs/>
        </w:rPr>
        <w:t>in advance</w:t>
      </w:r>
      <w:r>
        <w:t xml:space="preserve"> so a CAS covering 1 year of study can be awarded (i.e. normally a single </w:t>
      </w:r>
      <w:r w:rsidR="00F4704B">
        <w:t>2-year</w:t>
      </w:r>
      <w:r>
        <w:t xml:space="preserve"> CAS would be issued).  </w:t>
      </w:r>
    </w:p>
    <w:p w14:paraId="726075D0" w14:textId="77777777" w:rsidR="00AB1D7E" w:rsidRPr="00E72D42" w:rsidRDefault="00AB1D7E" w:rsidP="00AB1D7E">
      <w:pPr>
        <w:spacing w:after="0"/>
        <w:rPr>
          <w:sz w:val="20"/>
          <w:szCs w:val="20"/>
        </w:rPr>
      </w:pPr>
    </w:p>
    <w:p w14:paraId="7994AAAA" w14:textId="36B504EE" w:rsidR="00AB1D7E" w:rsidRPr="00A53015" w:rsidRDefault="00AB1D7E" w:rsidP="00AB1D7E">
      <w:pPr>
        <w:spacing w:after="0"/>
        <w:rPr>
          <w:b/>
          <w:bCs/>
        </w:rPr>
      </w:pPr>
      <w:r w:rsidRPr="00A53015">
        <w:rPr>
          <w:b/>
          <w:bCs/>
        </w:rPr>
        <w:t>Can SGU</w:t>
      </w:r>
      <w:r w:rsidR="007C4AB5">
        <w:rPr>
          <w:b/>
          <w:bCs/>
        </w:rPr>
        <w:t xml:space="preserve"> and </w:t>
      </w:r>
      <w:r>
        <w:rPr>
          <w:b/>
          <w:bCs/>
        </w:rPr>
        <w:t>NU</w:t>
      </w:r>
      <w:r w:rsidRPr="00A53015">
        <w:rPr>
          <w:b/>
          <w:bCs/>
        </w:rPr>
        <w:t xml:space="preserve"> contracted agents send students to Newcastle?</w:t>
      </w:r>
    </w:p>
    <w:p w14:paraId="57643092" w14:textId="2AF7DA31" w:rsidR="00AB1D7E" w:rsidRDefault="00AB1D7E" w:rsidP="00AB1D7E">
      <w:pPr>
        <w:spacing w:after="0"/>
      </w:pPr>
      <w:r>
        <w:t xml:space="preserve">Yes. The commission payment arrangements are different for the 3 pathway stages available in Newcastle. However, in all cases an SGU or NU contracted agent could send a student to Newcastle and receive commission. Where NU is responsible for paying agent commission, arrangements are in place to recognise SGU contracted agents and make commission payments. Similar arrangements are in place at SGU to recognise NU agents.  </w:t>
      </w:r>
    </w:p>
    <w:p w14:paraId="39A831C6" w14:textId="77777777" w:rsidR="00AB1D7E" w:rsidRPr="00E72D42" w:rsidRDefault="00AB1D7E" w:rsidP="00AB1D7E">
      <w:pPr>
        <w:spacing w:after="0"/>
        <w:rPr>
          <w:sz w:val="20"/>
          <w:szCs w:val="20"/>
        </w:rPr>
      </w:pPr>
    </w:p>
    <w:p w14:paraId="048A3F84" w14:textId="77777777" w:rsidR="00AB1D7E" w:rsidRPr="00A53015" w:rsidRDefault="00AB1D7E" w:rsidP="00AB1D7E">
      <w:pPr>
        <w:spacing w:after="0"/>
        <w:rPr>
          <w:b/>
          <w:bCs/>
        </w:rPr>
      </w:pPr>
      <w:r w:rsidRPr="00A53015">
        <w:rPr>
          <w:b/>
          <w:bCs/>
        </w:rPr>
        <w:t>Who will issue the CAS for a student studying with SGU in Newcastle?</w:t>
      </w:r>
    </w:p>
    <w:p w14:paraId="46B3627A" w14:textId="3BD841AA" w:rsidR="00AB1D7E" w:rsidRDefault="00AB1D7E" w:rsidP="00AB1D7E">
      <w:pPr>
        <w:spacing w:after="0"/>
      </w:pPr>
      <w:r>
        <w:t xml:space="preserve">All CAS are issued by Northumbria University who will act as sponsor for the duration of a student’s time in Newcastle on SGU programmes. Where students opt to return to the UK for clinical rotations SGU will act as sponsor for visa purposes.  </w:t>
      </w:r>
    </w:p>
    <w:p w14:paraId="6AD5ACA6" w14:textId="77777777" w:rsidR="00AB1D7E" w:rsidRPr="00E72D42" w:rsidRDefault="00AB1D7E" w:rsidP="00AB1D7E">
      <w:pPr>
        <w:spacing w:after="0"/>
        <w:rPr>
          <w:sz w:val="20"/>
          <w:szCs w:val="20"/>
        </w:rPr>
      </w:pPr>
    </w:p>
    <w:p w14:paraId="224D3D57" w14:textId="77777777" w:rsidR="00AB1D7E" w:rsidRPr="00A53015" w:rsidRDefault="00AB1D7E" w:rsidP="00AB1D7E">
      <w:pPr>
        <w:spacing w:after="0"/>
        <w:rPr>
          <w:b/>
          <w:bCs/>
        </w:rPr>
      </w:pPr>
      <w:r w:rsidRPr="00A53015">
        <w:rPr>
          <w:b/>
          <w:bCs/>
        </w:rPr>
        <w:t>How do students apply for SGU programmes offered in Newcastle?</w:t>
      </w:r>
    </w:p>
    <w:p w14:paraId="0836EEC7" w14:textId="2C59D75B" w:rsidR="00AB1D7E" w:rsidRDefault="52697207" w:rsidP="00AB1D7E">
      <w:pPr>
        <w:spacing w:after="0"/>
      </w:pPr>
      <w:r>
        <w:t xml:space="preserve">All applications must be submitted to SGU for all pathway stages. Applications can be submitted via the SGU website. The application form can also be accessed via the Medical Pathway page on the Northumbria website. Much of the admissions process is managed by SGU and any enquiries for active applications should be submitted to SGU rather than NU.  </w:t>
      </w:r>
    </w:p>
    <w:p w14:paraId="45C090F9" w14:textId="68F283BC" w:rsidR="52697207" w:rsidRPr="00E72D42" w:rsidRDefault="52697207" w:rsidP="52697207">
      <w:pPr>
        <w:spacing w:after="0"/>
        <w:rPr>
          <w:sz w:val="20"/>
          <w:szCs w:val="20"/>
        </w:rPr>
      </w:pPr>
    </w:p>
    <w:sectPr w:rsidR="52697207" w:rsidRPr="00E72D42" w:rsidSect="00EC54E2">
      <w:headerReference w:type="default" r:id="rId12"/>
      <w:footerReference w:type="default" r:id="rId13"/>
      <w:pgSz w:w="11906" w:h="16838"/>
      <w:pgMar w:top="1980" w:right="386" w:bottom="1080" w:left="270" w:header="90"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136A6" w14:textId="77777777" w:rsidR="005F280F" w:rsidRDefault="005F280F" w:rsidP="00085EC9">
      <w:pPr>
        <w:spacing w:after="0" w:line="240" w:lineRule="auto"/>
      </w:pPr>
      <w:r>
        <w:separator/>
      </w:r>
    </w:p>
  </w:endnote>
  <w:endnote w:type="continuationSeparator" w:id="0">
    <w:p w14:paraId="6BB848B2" w14:textId="77777777" w:rsidR="005F280F" w:rsidRDefault="005F280F" w:rsidP="00085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626058"/>
      <w:docPartObj>
        <w:docPartGallery w:val="Page Numbers (Bottom of Page)"/>
        <w:docPartUnique/>
      </w:docPartObj>
    </w:sdtPr>
    <w:sdtEndPr/>
    <w:sdtContent>
      <w:sdt>
        <w:sdtPr>
          <w:id w:val="-1769616900"/>
          <w:docPartObj>
            <w:docPartGallery w:val="Page Numbers (Top of Page)"/>
            <w:docPartUnique/>
          </w:docPartObj>
        </w:sdtPr>
        <w:sdtEndPr/>
        <w:sdtContent>
          <w:p w14:paraId="78DEB1DB" w14:textId="26DC4AB2" w:rsidR="00157173" w:rsidRDefault="001571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83AF7C" w14:textId="77777777" w:rsidR="00793FE3" w:rsidRDefault="00793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61C2C" w14:textId="77777777" w:rsidR="005F280F" w:rsidRDefault="005F280F" w:rsidP="00085EC9">
      <w:pPr>
        <w:spacing w:after="0" w:line="240" w:lineRule="auto"/>
      </w:pPr>
      <w:r>
        <w:separator/>
      </w:r>
    </w:p>
  </w:footnote>
  <w:footnote w:type="continuationSeparator" w:id="0">
    <w:p w14:paraId="0BC67984" w14:textId="77777777" w:rsidR="005F280F" w:rsidRDefault="005F280F" w:rsidP="00085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C9A2" w14:textId="3F329E0F" w:rsidR="00085EC9" w:rsidRDefault="00085EC9" w:rsidP="00683796">
    <w:pPr>
      <w:pStyle w:val="Header"/>
      <w:jc w:val="center"/>
    </w:pPr>
    <w:r w:rsidRPr="00085EC9">
      <w:rPr>
        <w:noProof/>
      </w:rPr>
      <w:drawing>
        <wp:inline distT="0" distB="0" distL="0" distR="0" wp14:anchorId="13E68D3A" wp14:editId="6B473333">
          <wp:extent cx="5731510" cy="104902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stretch>
                    <a:fillRect/>
                  </a:stretch>
                </pic:blipFill>
                <pic:spPr>
                  <a:xfrm>
                    <a:off x="0" y="0"/>
                    <a:ext cx="5731510" cy="1049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415E6"/>
    <w:multiLevelType w:val="hybridMultilevel"/>
    <w:tmpl w:val="F56247BC"/>
    <w:lvl w:ilvl="0" w:tplc="08090001">
      <w:start w:val="1"/>
      <w:numFmt w:val="bullet"/>
      <w:lvlText w:val=""/>
      <w:lvlJc w:val="left"/>
      <w:pPr>
        <w:ind w:left="720" w:hanging="360"/>
      </w:pPr>
      <w:rPr>
        <w:rFonts w:ascii="Symbol" w:hAnsi="Symbol" w:hint="default"/>
      </w:rPr>
    </w:lvl>
    <w:lvl w:ilvl="1" w:tplc="01546516">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E06D64"/>
    <w:multiLevelType w:val="hybridMultilevel"/>
    <w:tmpl w:val="967A4710"/>
    <w:lvl w:ilvl="0" w:tplc="EDE4DF4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B8"/>
    <w:rsid w:val="000240ED"/>
    <w:rsid w:val="00037E75"/>
    <w:rsid w:val="000604E1"/>
    <w:rsid w:val="00085EC9"/>
    <w:rsid w:val="000E65DF"/>
    <w:rsid w:val="000F5CCD"/>
    <w:rsid w:val="00130987"/>
    <w:rsid w:val="00157173"/>
    <w:rsid w:val="001619B8"/>
    <w:rsid w:val="00174273"/>
    <w:rsid w:val="002316B7"/>
    <w:rsid w:val="00236873"/>
    <w:rsid w:val="002E23F2"/>
    <w:rsid w:val="002F308A"/>
    <w:rsid w:val="002F5EAF"/>
    <w:rsid w:val="003A183C"/>
    <w:rsid w:val="00423316"/>
    <w:rsid w:val="004378F5"/>
    <w:rsid w:val="00482D51"/>
    <w:rsid w:val="004C30BA"/>
    <w:rsid w:val="00503285"/>
    <w:rsid w:val="0052050E"/>
    <w:rsid w:val="005401DF"/>
    <w:rsid w:val="0054360A"/>
    <w:rsid w:val="005B3B5E"/>
    <w:rsid w:val="005F280F"/>
    <w:rsid w:val="0063349B"/>
    <w:rsid w:val="00653717"/>
    <w:rsid w:val="00683796"/>
    <w:rsid w:val="00693D6D"/>
    <w:rsid w:val="006C0082"/>
    <w:rsid w:val="00731600"/>
    <w:rsid w:val="00742A1E"/>
    <w:rsid w:val="00764D67"/>
    <w:rsid w:val="00770C23"/>
    <w:rsid w:val="0078034A"/>
    <w:rsid w:val="007920F7"/>
    <w:rsid w:val="00793FE3"/>
    <w:rsid w:val="007C4AB5"/>
    <w:rsid w:val="007D34A7"/>
    <w:rsid w:val="007D65E3"/>
    <w:rsid w:val="00841867"/>
    <w:rsid w:val="00863A91"/>
    <w:rsid w:val="00872166"/>
    <w:rsid w:val="008C1F2D"/>
    <w:rsid w:val="008C7956"/>
    <w:rsid w:val="008E55E4"/>
    <w:rsid w:val="008E5DEF"/>
    <w:rsid w:val="00903028"/>
    <w:rsid w:val="00962127"/>
    <w:rsid w:val="0097191A"/>
    <w:rsid w:val="009750EA"/>
    <w:rsid w:val="009871FB"/>
    <w:rsid w:val="00A11EE8"/>
    <w:rsid w:val="00AB1D7E"/>
    <w:rsid w:val="00AD0972"/>
    <w:rsid w:val="00B04B57"/>
    <w:rsid w:val="00B2131F"/>
    <w:rsid w:val="00B8363A"/>
    <w:rsid w:val="00BB4626"/>
    <w:rsid w:val="00BC0258"/>
    <w:rsid w:val="00BC4E41"/>
    <w:rsid w:val="00C01CA1"/>
    <w:rsid w:val="00C26168"/>
    <w:rsid w:val="00C57954"/>
    <w:rsid w:val="00C639B1"/>
    <w:rsid w:val="00C74A73"/>
    <w:rsid w:val="00CA5D84"/>
    <w:rsid w:val="00CA751C"/>
    <w:rsid w:val="00D11B33"/>
    <w:rsid w:val="00D531E1"/>
    <w:rsid w:val="00DA1982"/>
    <w:rsid w:val="00E01300"/>
    <w:rsid w:val="00E209AB"/>
    <w:rsid w:val="00E331B9"/>
    <w:rsid w:val="00E72D42"/>
    <w:rsid w:val="00E7663D"/>
    <w:rsid w:val="00EB6CB5"/>
    <w:rsid w:val="00EC54E2"/>
    <w:rsid w:val="00F04D2C"/>
    <w:rsid w:val="00F2238E"/>
    <w:rsid w:val="00F32A74"/>
    <w:rsid w:val="00F4704B"/>
    <w:rsid w:val="00F827CA"/>
    <w:rsid w:val="00FD5961"/>
    <w:rsid w:val="00FE2F52"/>
    <w:rsid w:val="231C211C"/>
    <w:rsid w:val="52697207"/>
    <w:rsid w:val="577D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1CBCBC"/>
  <w15:chartTrackingRefBased/>
  <w15:docId w15:val="{A54AE470-865C-462A-8C00-34D1D90D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1300"/>
    <w:pPr>
      <w:ind w:left="720"/>
      <w:contextualSpacing/>
    </w:pPr>
  </w:style>
  <w:style w:type="character" w:styleId="Hyperlink">
    <w:name w:val="Hyperlink"/>
    <w:basedOn w:val="DefaultParagraphFont"/>
    <w:uiPriority w:val="99"/>
    <w:unhideWhenUsed/>
    <w:rsid w:val="00863A91"/>
    <w:rPr>
      <w:color w:val="0563C1" w:themeColor="hyperlink"/>
      <w:u w:val="single"/>
    </w:rPr>
  </w:style>
  <w:style w:type="character" w:customStyle="1" w:styleId="UnresolvedMention1">
    <w:name w:val="Unresolved Mention1"/>
    <w:basedOn w:val="DefaultParagraphFont"/>
    <w:uiPriority w:val="99"/>
    <w:semiHidden/>
    <w:unhideWhenUsed/>
    <w:rsid w:val="00863A91"/>
    <w:rPr>
      <w:color w:val="605E5C"/>
      <w:shd w:val="clear" w:color="auto" w:fill="E1DFDD"/>
    </w:rPr>
  </w:style>
  <w:style w:type="paragraph" w:styleId="BalloonText">
    <w:name w:val="Balloon Text"/>
    <w:basedOn w:val="Normal"/>
    <w:link w:val="BalloonTextChar"/>
    <w:uiPriority w:val="99"/>
    <w:semiHidden/>
    <w:unhideWhenUsed/>
    <w:rsid w:val="00971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91A"/>
    <w:rPr>
      <w:rFonts w:ascii="Segoe UI" w:hAnsi="Segoe UI" w:cs="Segoe UI"/>
      <w:sz w:val="18"/>
      <w:szCs w:val="18"/>
    </w:rPr>
  </w:style>
  <w:style w:type="character" w:customStyle="1" w:styleId="UnresolvedMention2">
    <w:name w:val="Unresolved Mention2"/>
    <w:basedOn w:val="DefaultParagraphFont"/>
    <w:uiPriority w:val="99"/>
    <w:semiHidden/>
    <w:unhideWhenUsed/>
    <w:rsid w:val="00E7663D"/>
    <w:rPr>
      <w:color w:val="605E5C"/>
      <w:shd w:val="clear" w:color="auto" w:fill="E1DFDD"/>
    </w:rPr>
  </w:style>
  <w:style w:type="paragraph" w:styleId="Header">
    <w:name w:val="header"/>
    <w:basedOn w:val="Normal"/>
    <w:link w:val="HeaderChar"/>
    <w:uiPriority w:val="99"/>
    <w:unhideWhenUsed/>
    <w:rsid w:val="00085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EC9"/>
  </w:style>
  <w:style w:type="paragraph" w:styleId="Footer">
    <w:name w:val="footer"/>
    <w:basedOn w:val="Normal"/>
    <w:link w:val="FooterChar"/>
    <w:uiPriority w:val="99"/>
    <w:unhideWhenUsed/>
    <w:rsid w:val="00085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EC9"/>
  </w:style>
  <w:style w:type="character" w:styleId="FollowedHyperlink">
    <w:name w:val="FollowedHyperlink"/>
    <w:basedOn w:val="DefaultParagraphFont"/>
    <w:uiPriority w:val="99"/>
    <w:semiHidden/>
    <w:unhideWhenUsed/>
    <w:rsid w:val="00962127"/>
    <w:rPr>
      <w:color w:val="954F72" w:themeColor="followedHyperlink"/>
      <w:u w:val="single"/>
    </w:rPr>
  </w:style>
  <w:style w:type="character" w:styleId="CommentReference">
    <w:name w:val="annotation reference"/>
    <w:basedOn w:val="DefaultParagraphFont"/>
    <w:uiPriority w:val="99"/>
    <w:semiHidden/>
    <w:unhideWhenUsed/>
    <w:rsid w:val="003A183C"/>
    <w:rPr>
      <w:sz w:val="16"/>
      <w:szCs w:val="16"/>
    </w:rPr>
  </w:style>
  <w:style w:type="paragraph" w:styleId="CommentText">
    <w:name w:val="annotation text"/>
    <w:basedOn w:val="Normal"/>
    <w:link w:val="CommentTextChar"/>
    <w:uiPriority w:val="99"/>
    <w:semiHidden/>
    <w:unhideWhenUsed/>
    <w:rsid w:val="003A183C"/>
    <w:pPr>
      <w:spacing w:line="240" w:lineRule="auto"/>
    </w:pPr>
    <w:rPr>
      <w:sz w:val="20"/>
      <w:szCs w:val="20"/>
    </w:rPr>
  </w:style>
  <w:style w:type="character" w:customStyle="1" w:styleId="CommentTextChar">
    <w:name w:val="Comment Text Char"/>
    <w:basedOn w:val="DefaultParagraphFont"/>
    <w:link w:val="CommentText"/>
    <w:uiPriority w:val="99"/>
    <w:semiHidden/>
    <w:rsid w:val="003A183C"/>
    <w:rPr>
      <w:sz w:val="20"/>
      <w:szCs w:val="20"/>
    </w:rPr>
  </w:style>
  <w:style w:type="paragraph" w:styleId="CommentSubject">
    <w:name w:val="annotation subject"/>
    <w:basedOn w:val="CommentText"/>
    <w:next w:val="CommentText"/>
    <w:link w:val="CommentSubjectChar"/>
    <w:uiPriority w:val="99"/>
    <w:semiHidden/>
    <w:unhideWhenUsed/>
    <w:rsid w:val="003A183C"/>
    <w:rPr>
      <w:b/>
      <w:bCs/>
    </w:rPr>
  </w:style>
  <w:style w:type="character" w:customStyle="1" w:styleId="CommentSubjectChar">
    <w:name w:val="Comment Subject Char"/>
    <w:basedOn w:val="CommentTextChar"/>
    <w:link w:val="CommentSubject"/>
    <w:uiPriority w:val="99"/>
    <w:semiHidden/>
    <w:rsid w:val="003A18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57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lobaladmission@sgu.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gu.elluciancrmrecruit.com/Admissions/Pages/createaccount.aspx?f=1a95d545-3600-4580-8461-35e38fdbdb4e&amp;o=51fa065a-31a8-4a49-b291-39ad7e354f4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F6F16C618284DA73536DAC75D5EEC" ma:contentTypeVersion="15" ma:contentTypeDescription="Create a new document." ma:contentTypeScope="" ma:versionID="6566b421ae86c49e22a7b0f23003d4c2">
  <xsd:schema xmlns:xsd="http://www.w3.org/2001/XMLSchema" xmlns:xs="http://www.w3.org/2001/XMLSchema" xmlns:p="http://schemas.microsoft.com/office/2006/metadata/properties" xmlns:ns1="http://schemas.microsoft.com/sharepoint/v3" xmlns:ns3="5c8b5cc8-1462-42d6-8366-4b66837fa8a0" xmlns:ns4="1a626e8d-9c09-4a70-989a-61db2865ac52" targetNamespace="http://schemas.microsoft.com/office/2006/metadata/properties" ma:root="true" ma:fieldsID="28c815a967894d772bb25d2eb38f0902" ns1:_="" ns3:_="" ns4:_="">
    <xsd:import namespace="http://schemas.microsoft.com/sharepoint/v3"/>
    <xsd:import namespace="5c8b5cc8-1462-42d6-8366-4b66837fa8a0"/>
    <xsd:import namespace="1a626e8d-9c09-4a70-989a-61db2865ac5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b5cc8-1462-42d6-8366-4b66837fa8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26e8d-9c09-4a70-989a-61db2865ac5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E90FCD3-FD6B-4B24-9231-A86DCDADE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8b5cc8-1462-42d6-8366-4b66837fa8a0"/>
    <ds:schemaRef ds:uri="1a626e8d-9c09-4a70-989a-61db2865a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5CCCF-A55B-48E7-BAFB-0F1A4D053B65}">
  <ds:schemaRefs>
    <ds:schemaRef ds:uri="http://schemas.microsoft.com/sharepoint/v3/contenttype/forms"/>
  </ds:schemaRefs>
</ds:datastoreItem>
</file>

<file path=customXml/itemProps3.xml><?xml version="1.0" encoding="utf-8"?>
<ds:datastoreItem xmlns:ds="http://schemas.openxmlformats.org/officeDocument/2006/customXml" ds:itemID="{9E52D7E5-8366-47B1-B627-11622B370819}">
  <ds:schemaRefs>
    <ds:schemaRef ds:uri="http://schemas.microsoft.com/office/2006/metadata/properties"/>
    <ds:schemaRef ds:uri="5c8b5cc8-1462-42d6-8366-4b66837fa8a0"/>
    <ds:schemaRef ds:uri="http://schemas.microsoft.com/sharepoint/v3"/>
    <ds:schemaRef ds:uri="http://purl.org/dc/terms/"/>
    <ds:schemaRef ds:uri="http://schemas.openxmlformats.org/package/2006/metadata/core-properties"/>
    <ds:schemaRef ds:uri="1a626e8d-9c09-4a70-989a-61db2865ac52"/>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Allardyce</dc:creator>
  <cp:keywords/>
  <dc:description/>
  <cp:lastModifiedBy>Steven Cusumano</cp:lastModifiedBy>
  <cp:revision>17</cp:revision>
  <dcterms:created xsi:type="dcterms:W3CDTF">2020-03-27T17:46:00Z</dcterms:created>
  <dcterms:modified xsi:type="dcterms:W3CDTF">2020-03-27T19:40:00Z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0x010100884F6F16C618284DA73536DAC75D5EEC</vt:lpwstr>
  </property>
</Properties>
</file>